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59F9C">
      <w:pPr>
        <w:wordWrap w:val="0"/>
        <w:spacing w:line="360" w:lineRule="auto"/>
        <w:jc w:val="right"/>
        <w:rPr>
          <w:rFonts w:hint="eastAsia" w:ascii="宋体" w:hAnsi="宋体" w:eastAsia="宋体" w:cs="宋体"/>
          <w:b/>
          <w:sz w:val="28"/>
          <w:szCs w:val="28"/>
        </w:rPr>
      </w:pPr>
      <w:r>
        <w:rPr>
          <w:rFonts w:hint="eastAsia" w:ascii="宋体" w:hAnsi="宋体" w:eastAsia="宋体" w:cs="宋体"/>
          <w:szCs w:val="28"/>
        </w:rPr>
        <w:drawing>
          <wp:inline distT="0" distB="0" distL="114300" distR="114300">
            <wp:extent cx="1764030" cy="555625"/>
            <wp:effectExtent l="0" t="0" r="7620" b="15875"/>
            <wp:docPr id="11" name="图片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01"/>
                    <pic:cNvPicPr>
                      <a:picLocks noChangeAspect="1"/>
                    </pic:cNvPicPr>
                  </pic:nvPicPr>
                  <pic:blipFill>
                    <a:blip r:embed="rId5"/>
                    <a:stretch>
                      <a:fillRect/>
                    </a:stretch>
                  </pic:blipFill>
                  <pic:spPr>
                    <a:xfrm>
                      <a:off x="0" y="0"/>
                      <a:ext cx="1764030" cy="555625"/>
                    </a:xfrm>
                    <a:prstGeom prst="rect">
                      <a:avLst/>
                    </a:prstGeom>
                    <a:noFill/>
                    <a:ln>
                      <a:noFill/>
                    </a:ln>
                  </pic:spPr>
                </pic:pic>
              </a:graphicData>
            </a:graphic>
          </wp:inline>
        </w:drawing>
      </w:r>
    </w:p>
    <w:p w14:paraId="304852E1">
      <w:pPr>
        <w:spacing w:line="360" w:lineRule="auto"/>
        <w:ind w:right="-57" w:rightChars="-27" w:firstLine="4317" w:firstLineChars="1542"/>
        <w:rPr>
          <w:rFonts w:hint="eastAsia" w:ascii="宋体" w:hAnsi="宋体" w:eastAsia="宋体" w:cs="宋体"/>
          <w:sz w:val="28"/>
          <w:szCs w:val="28"/>
        </w:rPr>
      </w:pPr>
    </w:p>
    <w:p w14:paraId="7C95F201">
      <w:pPr>
        <w:spacing w:line="360" w:lineRule="auto"/>
        <w:ind w:right="-57" w:rightChars="-27" w:firstLine="5157" w:firstLineChars="1842"/>
        <w:rPr>
          <w:rFonts w:hint="eastAsia"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p>
    <w:p w14:paraId="72638B84">
      <w:pPr>
        <w:spacing w:line="360" w:lineRule="auto"/>
        <w:jc w:val="right"/>
        <w:rPr>
          <w:rFonts w:hint="eastAsia" w:ascii="宋体" w:hAnsi="宋体" w:eastAsia="宋体" w:cs="宋体"/>
          <w:sz w:val="32"/>
          <w:szCs w:val="32"/>
          <w:u w:val="single"/>
        </w:rPr>
      </w:pPr>
    </w:p>
    <w:p w14:paraId="611A443E">
      <w:pPr>
        <w:spacing w:line="360" w:lineRule="auto"/>
        <w:jc w:val="right"/>
        <w:rPr>
          <w:rFonts w:hint="eastAsia" w:ascii="宋体" w:hAnsi="宋体" w:eastAsia="宋体" w:cs="宋体"/>
          <w:sz w:val="32"/>
          <w:szCs w:val="32"/>
          <w:u w:val="single"/>
        </w:rPr>
      </w:pPr>
    </w:p>
    <w:p w14:paraId="17838DCA">
      <w:pPr>
        <w:kinsoku w:val="0"/>
        <w:wordWrap w:val="0"/>
        <w:spacing w:after="156" w:line="360" w:lineRule="auto"/>
        <w:jc w:val="center"/>
        <w:rPr>
          <w:rFonts w:hint="eastAsia" w:ascii="宋体" w:hAnsi="宋体" w:eastAsia="宋体" w:cs="宋体"/>
          <w:sz w:val="44"/>
          <w:szCs w:val="44"/>
        </w:rPr>
      </w:pPr>
    </w:p>
    <w:p w14:paraId="2C5D85A7">
      <w:pPr>
        <w:kinsoku w:val="0"/>
        <w:wordWrap w:val="0"/>
        <w:spacing w:after="156" w:line="360" w:lineRule="auto"/>
        <w:jc w:val="center"/>
        <w:rPr>
          <w:rFonts w:hint="eastAsia" w:ascii="宋体" w:hAnsi="宋体" w:eastAsia="宋体" w:cs="宋体"/>
          <w:szCs w:val="21"/>
        </w:rPr>
      </w:pPr>
    </w:p>
    <w:p w14:paraId="7A8A7653">
      <w:pPr>
        <w:pStyle w:val="2"/>
        <w:rPr>
          <w:rFonts w:hint="eastAsia" w:ascii="宋体" w:hAnsi="宋体" w:eastAsia="宋体" w:cs="宋体"/>
          <w:szCs w:val="21"/>
        </w:rPr>
      </w:pPr>
    </w:p>
    <w:p w14:paraId="3B8ED84D">
      <w:pPr>
        <w:rPr>
          <w:rFonts w:hint="eastAsia"/>
        </w:rPr>
      </w:pPr>
    </w:p>
    <w:p w14:paraId="2A4BD60A">
      <w:pPr>
        <w:kinsoku w:val="0"/>
        <w:wordWrap w:val="0"/>
        <w:spacing w:after="156" w:line="360" w:lineRule="auto"/>
        <w:jc w:val="center"/>
        <w:outlineLvl w:val="0"/>
        <w:rPr>
          <w:rFonts w:hint="eastAsia" w:ascii="宋体" w:hAnsi="宋体" w:eastAsia="宋体" w:cs="宋体"/>
          <w:sz w:val="52"/>
          <w:szCs w:val="52"/>
          <w:lang w:eastAsia="zh-Hans"/>
        </w:rPr>
      </w:pPr>
      <w:r>
        <w:rPr>
          <w:rFonts w:hint="eastAsia" w:ascii="宋体" w:hAnsi="宋体" w:eastAsia="宋体" w:cs="宋体"/>
          <w:sz w:val="52"/>
          <w:szCs w:val="52"/>
          <w:lang w:eastAsia="zh-CN"/>
        </w:rPr>
        <w:t>2025年度河套壹号项目楼体幕墙发光字制作及安装</w:t>
      </w:r>
      <w:r>
        <w:rPr>
          <w:rFonts w:hint="eastAsia" w:ascii="宋体" w:hAnsi="宋体" w:eastAsia="宋体" w:cs="宋体"/>
          <w:sz w:val="52"/>
          <w:szCs w:val="52"/>
          <w:lang w:eastAsia="zh-Hans"/>
        </w:rPr>
        <w:t>合同</w:t>
      </w:r>
    </w:p>
    <w:p w14:paraId="1157CE11">
      <w:pPr>
        <w:pStyle w:val="2"/>
        <w:rPr>
          <w:rFonts w:hint="eastAsia" w:ascii="宋体" w:hAnsi="宋体" w:eastAsia="宋体" w:cs="宋体"/>
          <w:sz w:val="52"/>
          <w:szCs w:val="52"/>
          <w:lang w:eastAsia="zh-Hans"/>
        </w:rPr>
      </w:pPr>
    </w:p>
    <w:p w14:paraId="31894254">
      <w:pPr>
        <w:rPr>
          <w:rFonts w:hint="eastAsia"/>
        </w:rPr>
      </w:pPr>
    </w:p>
    <w:p w14:paraId="20ED83A4">
      <w:pPr>
        <w:spacing w:before="312" w:after="156" w:line="360" w:lineRule="auto"/>
        <w:ind w:left="1719" w:leftChars="152" w:hanging="1400" w:hangingChars="500"/>
        <w:rPr>
          <w:rFonts w:hint="eastAsia" w:ascii="宋体" w:hAnsi="宋体" w:eastAsia="宋体" w:cs="宋体"/>
          <w:sz w:val="28"/>
          <w:szCs w:val="28"/>
          <w:lang w:eastAsia="zh-CN"/>
        </w:rPr>
      </w:pPr>
      <w:r>
        <w:rPr>
          <w:rFonts w:hint="eastAsia" w:ascii="宋体" w:hAnsi="宋体" w:eastAsia="宋体" w:cs="宋体"/>
          <w:sz w:val="28"/>
          <w:szCs w:val="28"/>
        </w:rPr>
        <w:t>项目名称</w:t>
      </w:r>
      <w:r>
        <w:rPr>
          <w:rFonts w:hint="eastAsia" w:ascii="宋体" w:hAnsi="宋体" w:eastAsia="宋体" w:cs="宋体"/>
          <w:sz w:val="28"/>
          <w:szCs w:val="28"/>
          <w:lang w:eastAsia="zh-Hans"/>
        </w:rPr>
        <w:t>：</w:t>
      </w:r>
      <w:r>
        <w:rPr>
          <w:rFonts w:hint="eastAsia" w:ascii="宋体" w:hAnsi="宋体" w:eastAsia="宋体" w:cs="宋体"/>
          <w:sz w:val="28"/>
          <w:szCs w:val="28"/>
          <w:u w:val="single"/>
          <w:lang w:eastAsia="zh-CN"/>
        </w:rPr>
        <w:t>2025年度河套壹号项目楼体幕墙发光字制作及安装</w:t>
      </w:r>
    </w:p>
    <w:p w14:paraId="7F5DA93F">
      <w:pPr>
        <w:spacing w:before="312" w:after="156" w:line="360" w:lineRule="auto"/>
        <w:ind w:firstLine="320"/>
        <w:rPr>
          <w:rFonts w:hint="eastAsia" w:ascii="宋体" w:hAnsi="宋体" w:eastAsia="宋体" w:cs="宋体"/>
          <w:sz w:val="28"/>
          <w:szCs w:val="28"/>
        </w:rPr>
      </w:pPr>
      <w:r>
        <w:rPr>
          <w:rFonts w:hint="eastAsia" w:ascii="宋体" w:hAnsi="宋体" w:eastAsia="宋体" w:cs="宋体"/>
          <w:sz w:val="28"/>
          <w:szCs w:val="28"/>
        </w:rPr>
        <w:t>项目地点：</w:t>
      </w:r>
      <w:r>
        <w:rPr>
          <w:rFonts w:hint="eastAsia" w:ascii="宋体" w:hAnsi="宋体" w:eastAsia="宋体" w:cs="宋体"/>
          <w:sz w:val="28"/>
          <w:szCs w:val="28"/>
          <w:u w:val="single"/>
          <w:lang w:val="en-US" w:eastAsia="zh-CN"/>
        </w:rPr>
        <w:t>深圳市</w:t>
      </w:r>
      <w:r>
        <w:rPr>
          <w:rFonts w:hint="eastAsia" w:ascii="宋体" w:hAnsi="宋体" w:eastAsia="宋体" w:cs="宋体"/>
          <w:sz w:val="28"/>
          <w:szCs w:val="28"/>
          <w:u w:val="single"/>
        </w:rPr>
        <w:t>福田保税区</w:t>
      </w:r>
    </w:p>
    <w:p w14:paraId="41A7FD41">
      <w:pPr>
        <w:spacing w:before="312" w:after="156" w:line="360" w:lineRule="auto"/>
        <w:ind w:firstLine="320"/>
        <w:rPr>
          <w:rFonts w:hint="eastAsia" w:ascii="宋体" w:hAnsi="宋体" w:eastAsia="宋体" w:cs="宋体"/>
          <w:sz w:val="28"/>
          <w:szCs w:val="28"/>
        </w:rPr>
      </w:pPr>
      <w:r>
        <w:rPr>
          <w:rFonts w:hint="eastAsia" w:ascii="宋体" w:hAnsi="宋体" w:eastAsia="宋体" w:cs="宋体"/>
          <w:sz w:val="28"/>
          <w:szCs w:val="28"/>
        </w:rPr>
        <w:t>发包人（甲方）：</w:t>
      </w:r>
      <w:r>
        <w:rPr>
          <w:rFonts w:ascii="宋体" w:hAnsi="宋体" w:eastAsia="宋体" w:cs="宋体"/>
          <w:sz w:val="28"/>
          <w:szCs w:val="28"/>
          <w:u w:val="single"/>
        </w:rPr>
        <w:t>深圳创科发展有限公司</w:t>
      </w:r>
    </w:p>
    <w:p w14:paraId="353D0E0D">
      <w:pPr>
        <w:spacing w:before="312" w:after="156" w:line="360" w:lineRule="auto"/>
        <w:ind w:firstLine="320"/>
        <w:rPr>
          <w:rFonts w:hint="eastAsia" w:ascii="宋体" w:hAnsi="宋体" w:eastAsia="宋体" w:cs="宋体"/>
          <w:sz w:val="28"/>
          <w:szCs w:val="28"/>
          <w:u w:val="single"/>
        </w:rPr>
      </w:pPr>
      <w:r>
        <w:rPr>
          <w:rFonts w:hint="eastAsia" w:ascii="宋体" w:hAnsi="宋体" w:eastAsia="宋体" w:cs="宋体"/>
          <w:sz w:val="28"/>
          <w:szCs w:val="28"/>
        </w:rPr>
        <w:t>承包人（乙方）：</w:t>
      </w:r>
      <w:r>
        <w:rPr>
          <w:rFonts w:hint="eastAsia" w:ascii="宋体" w:hAnsi="宋体" w:eastAsia="宋体" w:cs="宋体"/>
          <w:sz w:val="28"/>
          <w:szCs w:val="28"/>
          <w:u w:val="single"/>
        </w:rPr>
        <w:t xml:space="preserve">   </w:t>
      </w:r>
    </w:p>
    <w:p w14:paraId="0B59CB05">
      <w:pPr>
        <w:widowControl/>
        <w:spacing w:after="160" w:line="360" w:lineRule="auto"/>
        <w:ind w:firstLine="790" w:firstLineChars="247"/>
        <w:jc w:val="center"/>
        <w:rPr>
          <w:rFonts w:hint="eastAsia" w:ascii="宋体" w:hAnsi="宋体" w:eastAsia="宋体" w:cs="宋体"/>
          <w:sz w:val="32"/>
          <w:szCs w:val="32"/>
        </w:rPr>
      </w:pPr>
    </w:p>
    <w:p w14:paraId="40288E46">
      <w:pPr>
        <w:widowControl/>
        <w:spacing w:after="160" w:line="360" w:lineRule="auto"/>
        <w:jc w:val="left"/>
        <w:rPr>
          <w:rFonts w:hint="eastAsia" w:ascii="宋体" w:hAnsi="宋体" w:eastAsia="宋体" w:cs="宋体"/>
          <w:kern w:val="0"/>
          <w:sz w:val="24"/>
        </w:rPr>
        <w:sectPr>
          <w:pgSz w:w="11906" w:h="16838"/>
          <w:pgMar w:top="1440" w:right="1800" w:bottom="1440" w:left="1800" w:header="0" w:footer="0" w:gutter="0"/>
          <w:pgBorders>
            <w:top w:val="none" w:sz="0" w:space="0"/>
            <w:left w:val="none" w:sz="0" w:space="0"/>
            <w:bottom w:val="none" w:sz="0" w:space="0"/>
            <w:right w:val="none" w:sz="0" w:space="0"/>
          </w:pgBorders>
          <w:cols w:space="720" w:num="1"/>
        </w:sectPr>
      </w:pPr>
    </w:p>
    <w:p w14:paraId="383CFAA3">
      <w:pPr>
        <w:spacing w:line="360" w:lineRule="auto"/>
        <w:ind w:firstLine="547" w:firstLineChars="228"/>
        <w:rPr>
          <w:rFonts w:hint="eastAsia" w:ascii="宋体" w:hAnsi="宋体" w:eastAsia="宋体" w:cs="宋体"/>
          <w:kern w:val="0"/>
          <w:sz w:val="24"/>
          <w:szCs w:val="24"/>
        </w:rPr>
      </w:pPr>
      <w:r>
        <w:rPr>
          <w:rFonts w:hint="eastAsia" w:ascii="宋体" w:hAnsi="宋体" w:eastAsia="宋体" w:cs="宋体"/>
          <w:kern w:val="0"/>
          <w:sz w:val="24"/>
          <w:szCs w:val="24"/>
          <w:lang w:bidi="ar"/>
        </w:rPr>
        <w:t>依据《中华人民共和国民法典》、《中华人民共和国产品质量法》及其他有关法律、行政法规，遵循平等、自愿、公平和诚实信用的原则，双方就</w:t>
      </w:r>
      <w:r>
        <w:rPr>
          <w:rFonts w:ascii="宋体" w:hAnsi="宋体" w:eastAsia="宋体" w:cs="宋体"/>
          <w:kern w:val="0"/>
          <w:sz w:val="24"/>
          <w:szCs w:val="24"/>
          <w:lang w:eastAsia="zh-Hans" w:bidi="ar"/>
        </w:rPr>
        <w:t>河套壹号</w:t>
      </w:r>
      <w:r>
        <w:rPr>
          <w:rFonts w:hint="eastAsia" w:ascii="宋体" w:hAnsi="宋体" w:eastAsia="宋体" w:cs="宋体"/>
          <w:kern w:val="0"/>
          <w:sz w:val="24"/>
          <w:szCs w:val="24"/>
          <w:lang w:bidi="ar"/>
        </w:rPr>
        <w:t>项目楼体幕墙发光字广告制作及安装</w:t>
      </w:r>
      <w:r>
        <w:rPr>
          <w:rFonts w:hint="eastAsia" w:ascii="宋体" w:hAnsi="宋体" w:eastAsia="宋体" w:cs="宋体"/>
          <w:kern w:val="0"/>
          <w:sz w:val="24"/>
          <w:szCs w:val="24"/>
        </w:rPr>
        <w:t>（以下简称“</w:t>
      </w:r>
      <w:r>
        <w:rPr>
          <w:rFonts w:hint="eastAsia" w:ascii="宋体" w:hAnsi="宋体" w:eastAsia="宋体" w:cs="宋体"/>
          <w:b/>
          <w:bCs/>
          <w:kern w:val="0"/>
          <w:sz w:val="24"/>
          <w:szCs w:val="24"/>
        </w:rPr>
        <w:t>本项目</w:t>
      </w:r>
      <w:r>
        <w:rPr>
          <w:rFonts w:hint="eastAsia" w:ascii="宋体" w:hAnsi="宋体" w:eastAsia="宋体" w:cs="宋体"/>
          <w:kern w:val="0"/>
          <w:sz w:val="24"/>
          <w:szCs w:val="24"/>
        </w:rPr>
        <w:t>”）</w:t>
      </w:r>
      <w:r>
        <w:rPr>
          <w:rFonts w:hint="eastAsia" w:ascii="宋体" w:hAnsi="宋体" w:eastAsia="宋体" w:cs="宋体"/>
          <w:kern w:val="0"/>
          <w:sz w:val="24"/>
          <w:szCs w:val="24"/>
          <w:lang w:bidi="ar"/>
        </w:rPr>
        <w:t>的相关事宜协调一致，订立本合同</w:t>
      </w:r>
      <w:r>
        <w:rPr>
          <w:rFonts w:hint="eastAsia" w:ascii="宋体" w:hAnsi="宋体" w:eastAsia="宋体" w:cs="宋体"/>
          <w:kern w:val="0"/>
          <w:sz w:val="24"/>
          <w:szCs w:val="24"/>
        </w:rPr>
        <w:t>。</w:t>
      </w:r>
    </w:p>
    <w:p w14:paraId="096E35CB">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一、项目概况</w:t>
      </w:r>
    </w:p>
    <w:p w14:paraId="219E0896">
      <w:pPr>
        <w:numPr>
          <w:ilvl w:val="0"/>
          <w:numId w:val="2"/>
        </w:numPr>
        <w:spacing w:line="360" w:lineRule="auto"/>
        <w:ind w:firstLine="64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项目名称：</w:t>
      </w:r>
      <w:bookmarkStart w:id="0" w:name="_Hlk37260868"/>
      <w:r>
        <w:rPr>
          <w:rFonts w:hint="eastAsia" w:ascii="宋体" w:hAnsi="宋体" w:eastAsia="宋体" w:cs="宋体"/>
          <w:kern w:val="0"/>
          <w:sz w:val="24"/>
          <w:szCs w:val="24"/>
          <w:lang w:eastAsia="zh-CN"/>
        </w:rPr>
        <w:t>2025年度河套壹号项目楼体幕墙发光字制作及安装</w:t>
      </w:r>
      <w:r>
        <w:rPr>
          <w:rFonts w:hint="eastAsia" w:ascii="宋体" w:hAnsi="宋体" w:eastAsia="宋体" w:cs="宋体"/>
          <w:kern w:val="0"/>
          <w:sz w:val="24"/>
          <w:szCs w:val="24"/>
        </w:rPr>
        <w:t>。</w:t>
      </w:r>
    </w:p>
    <w:bookmarkEnd w:id="0"/>
    <w:p w14:paraId="2EB0C713">
      <w:pPr>
        <w:numPr>
          <w:ilvl w:val="0"/>
          <w:numId w:val="2"/>
        </w:numPr>
        <w:spacing w:line="360" w:lineRule="auto"/>
        <w:ind w:firstLine="64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项目地点：福田保税区市花路和紫荆道路口东北角</w:t>
      </w:r>
      <w:r>
        <w:rPr>
          <w:rFonts w:hint="eastAsia" w:ascii="宋体" w:hAnsi="宋体" w:eastAsia="宋体" w:cs="宋体"/>
          <w:sz w:val="24"/>
          <w:szCs w:val="24"/>
          <w:lang w:bidi="ar"/>
        </w:rPr>
        <w:t>。</w:t>
      </w:r>
    </w:p>
    <w:p w14:paraId="6F60DC6E">
      <w:pPr>
        <w:numPr>
          <w:ilvl w:val="0"/>
          <w:numId w:val="2"/>
        </w:numPr>
        <w:spacing w:line="360" w:lineRule="auto"/>
        <w:ind w:firstLine="640"/>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lang w:bidi="ar"/>
        </w:rPr>
        <w:t>承包</w:t>
      </w:r>
      <w:r>
        <w:rPr>
          <w:rFonts w:hint="eastAsia" w:ascii="宋体" w:hAnsi="宋体" w:eastAsia="宋体" w:cs="宋体"/>
          <w:kern w:val="0"/>
          <w:sz w:val="24"/>
          <w:szCs w:val="24"/>
        </w:rPr>
        <w:t>方式：包工包料、采购、制作及安装等，交付即可使用。</w:t>
      </w:r>
    </w:p>
    <w:p w14:paraId="08545865">
      <w:pPr>
        <w:widowControl/>
        <w:numPr>
          <w:ilvl w:val="0"/>
          <w:numId w:val="2"/>
        </w:numPr>
        <w:spacing w:line="360" w:lineRule="auto"/>
        <w:ind w:firstLine="640"/>
        <w:jc w:val="left"/>
        <w:rPr>
          <w:rFonts w:hint="eastAsia" w:ascii="宋体" w:hAnsi="宋体" w:eastAsia="宋体" w:cs="宋体"/>
          <w:kern w:val="0"/>
          <w:sz w:val="24"/>
          <w:szCs w:val="24"/>
        </w:rPr>
      </w:pPr>
      <w:r>
        <w:rPr>
          <w:rFonts w:hint="eastAsia" w:ascii="宋体" w:hAnsi="宋体" w:eastAsia="宋体" w:cs="宋体"/>
          <w:kern w:val="0"/>
          <w:sz w:val="24"/>
          <w:szCs w:val="24"/>
        </w:rPr>
        <w:t>合同内容：楼体广告设计方案当中包含的所有楼体灯光字及电源、线路的生产制作；楼体广告设计方案中包含的所有灯光字、电源、线路的安装；</w:t>
      </w:r>
      <w:r>
        <w:rPr>
          <w:rFonts w:hint="eastAsia" w:ascii="宋体" w:hAnsi="宋体" w:eastAsia="宋体" w:cs="宋体"/>
          <w:kern w:val="0"/>
          <w:sz w:val="24"/>
          <w:szCs w:val="24"/>
          <w:lang w:val="en-US" w:eastAsia="zh-CN"/>
        </w:rPr>
        <w:t>全部楼体灯光字的</w:t>
      </w:r>
      <w:r>
        <w:rPr>
          <w:rFonts w:hint="eastAsia" w:ascii="宋体" w:hAnsi="宋体" w:eastAsia="宋体" w:cs="宋体"/>
          <w:kern w:val="0"/>
          <w:sz w:val="24"/>
          <w:szCs w:val="24"/>
        </w:rPr>
        <w:t>拆除、搬运及安装；质保期内的保修义务。</w:t>
      </w:r>
      <w:r>
        <w:rPr>
          <w:rFonts w:hint="eastAsia" w:ascii="宋体" w:hAnsi="宋体" w:eastAsia="宋体" w:cs="宋体"/>
          <w:b/>
          <w:bCs/>
          <w:kern w:val="0"/>
          <w:sz w:val="24"/>
          <w:szCs w:val="24"/>
        </w:rPr>
        <w:t>具体详见附件</w:t>
      </w:r>
      <w:r>
        <w:rPr>
          <w:rFonts w:ascii="宋体" w:hAnsi="宋体" w:eastAsia="宋体" w:cs="宋体"/>
          <w:b/>
          <w:bCs/>
          <w:kern w:val="0"/>
          <w:sz w:val="24"/>
          <w:szCs w:val="24"/>
        </w:rPr>
        <w:t>：</w:t>
      </w:r>
      <w:r>
        <w:rPr>
          <w:rFonts w:hint="eastAsia" w:ascii="宋体" w:hAnsi="宋体" w:eastAsia="宋体" w:cs="宋体"/>
          <w:b/>
          <w:bCs/>
          <w:kern w:val="0"/>
          <w:sz w:val="24"/>
          <w:szCs w:val="24"/>
        </w:rPr>
        <w:t>技术规范书</w:t>
      </w:r>
      <w:r>
        <w:rPr>
          <w:rFonts w:hint="eastAsia" w:ascii="宋体" w:hAnsi="宋体" w:eastAsia="宋体" w:cs="宋体"/>
          <w:kern w:val="0"/>
          <w:sz w:val="24"/>
          <w:szCs w:val="24"/>
        </w:rPr>
        <w:t>。</w:t>
      </w:r>
    </w:p>
    <w:p w14:paraId="1F7BF599">
      <w:pPr>
        <w:widowControl/>
        <w:numPr>
          <w:ilvl w:val="0"/>
          <w:numId w:val="2"/>
        </w:numPr>
        <w:spacing w:line="360" w:lineRule="auto"/>
        <w:ind w:firstLine="640"/>
        <w:jc w:val="left"/>
        <w:outlineLvl w:val="1"/>
        <w:rPr>
          <w:rFonts w:hint="eastAsia" w:ascii="宋体" w:hAnsi="宋体" w:eastAsia="宋体" w:cs="宋体"/>
          <w:kern w:val="0"/>
          <w:sz w:val="24"/>
          <w:szCs w:val="24"/>
        </w:rPr>
      </w:pPr>
      <w:r>
        <w:rPr>
          <w:rFonts w:hint="eastAsia" w:ascii="宋体" w:hAnsi="宋体" w:eastAsia="宋体" w:cs="宋体"/>
          <w:kern w:val="0"/>
          <w:sz w:val="24"/>
          <w:szCs w:val="24"/>
        </w:rPr>
        <w:t>组成合同的文件</w:t>
      </w:r>
    </w:p>
    <w:p w14:paraId="4CF51C0B">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组成本合同的文件及优先解释顺序：</w:t>
      </w:r>
    </w:p>
    <w:p w14:paraId="5DA86B0D">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1、本合同条款；</w:t>
      </w:r>
    </w:p>
    <w:p w14:paraId="344E8038">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2、中标通知书；</w:t>
      </w:r>
    </w:p>
    <w:p w14:paraId="56920908">
      <w:pPr>
        <w:widowControl/>
        <w:spacing w:line="360" w:lineRule="auto"/>
        <w:ind w:firstLine="470" w:firstLineChars="196"/>
        <w:jc w:val="left"/>
        <w:textAlignment w:val="baseline"/>
        <w:rPr>
          <w:rFonts w:hint="eastAsia"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、招标文件及招标补遗文件；</w:t>
      </w:r>
    </w:p>
    <w:p w14:paraId="627A9281">
      <w:pPr>
        <w:widowControl/>
        <w:spacing w:line="360" w:lineRule="auto"/>
        <w:ind w:firstLine="470" w:firstLineChars="196"/>
        <w:jc w:val="left"/>
        <w:textAlignment w:val="baseline"/>
        <w:rPr>
          <w:rFonts w:hint="eastAsia"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投标文件；</w:t>
      </w:r>
    </w:p>
    <w:p w14:paraId="1432F32C">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5、标准、规范及有关技术文件；</w:t>
      </w:r>
    </w:p>
    <w:p w14:paraId="5D72CC89">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eastAsia="zh-Hans"/>
        </w:rPr>
        <w:t>设计稿源文件及设计</w:t>
      </w:r>
      <w:r>
        <w:rPr>
          <w:rFonts w:hint="eastAsia" w:ascii="宋体" w:hAnsi="宋体" w:eastAsia="宋体" w:cs="宋体"/>
          <w:kern w:val="0"/>
          <w:sz w:val="24"/>
          <w:szCs w:val="24"/>
        </w:rPr>
        <w:t>图纸；</w:t>
      </w:r>
    </w:p>
    <w:p w14:paraId="0D60F856">
      <w:pPr>
        <w:widowControl/>
        <w:spacing w:line="360" w:lineRule="auto"/>
        <w:ind w:firstLine="470" w:firstLineChars="196"/>
        <w:jc w:val="left"/>
        <w:textAlignment w:val="baseline"/>
        <w:rPr>
          <w:rFonts w:hint="eastAsia"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、其他合同附件；</w:t>
      </w:r>
    </w:p>
    <w:p w14:paraId="0CBE511A">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8、项目进行过程中的有关信件、数据电文(电报、电传、传真、电子数据交换和电子邮件)。</w:t>
      </w:r>
    </w:p>
    <w:p w14:paraId="69CA848E">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二、合同工期</w:t>
      </w:r>
    </w:p>
    <w:p w14:paraId="2A745CF9">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合同工期：自本项目《中标通知书》发出之日起，按照项目幕墙工程节点，分阶段进行施工，每阶段施工工期需在下单后</w:t>
      </w:r>
      <w:r>
        <w:rPr>
          <w:rFonts w:ascii="宋体" w:hAnsi="宋体" w:eastAsia="宋体" w:cs="宋体"/>
          <w:kern w:val="0"/>
          <w:sz w:val="24"/>
          <w:szCs w:val="24"/>
        </w:rPr>
        <w:t>20</w:t>
      </w:r>
      <w:r>
        <w:rPr>
          <w:rFonts w:hint="eastAsia" w:ascii="宋体" w:hAnsi="宋体" w:eastAsia="宋体" w:cs="宋体"/>
          <w:kern w:val="0"/>
          <w:sz w:val="24"/>
          <w:szCs w:val="24"/>
        </w:rPr>
        <w:t>天内完成制作与安装，并通过甲方验收。本项目服务范围内的全部楼体灯光字临时拆除及搬运整体完成时间不得超过 2 天，重新安装的整体完工时间不得超过 3 天。因自然灾害、政府叫停及其他不可抗力造成竣工日期延误的，不视为乙方违约，双方将重新协商并书面确定新的时间进度。</w:t>
      </w:r>
    </w:p>
    <w:p w14:paraId="2871D680">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三、质量标准</w:t>
      </w:r>
    </w:p>
    <w:p w14:paraId="27B1D869">
      <w:pPr>
        <w:widowControl/>
        <w:spacing w:line="360" w:lineRule="auto"/>
        <w:ind w:firstLine="470" w:firstLineChars="196"/>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质量标准：</w:t>
      </w:r>
      <w:r>
        <w:rPr>
          <w:rFonts w:hint="eastAsia" w:ascii="宋体" w:hAnsi="宋体" w:eastAsia="宋体" w:cs="宋体"/>
          <w:kern w:val="0"/>
          <w:sz w:val="24"/>
          <w:szCs w:val="24"/>
          <w:u w:val="single"/>
        </w:rPr>
        <w:t>合格，按照国家、相关行业标准执行。</w:t>
      </w:r>
    </w:p>
    <w:p w14:paraId="616A3C14">
      <w:pPr>
        <w:widowControl/>
        <w:spacing w:line="360" w:lineRule="auto"/>
        <w:ind w:firstLine="470" w:firstLineChars="196"/>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质量保修期：</w:t>
      </w:r>
      <w:r>
        <w:rPr>
          <w:rFonts w:hint="eastAsia" w:ascii="宋体" w:hAnsi="宋体" w:eastAsia="宋体" w:cs="宋体"/>
          <w:kern w:val="0"/>
          <w:sz w:val="24"/>
          <w:szCs w:val="24"/>
          <w:u w:val="single"/>
        </w:rPr>
        <w:t>一年。</w:t>
      </w:r>
    </w:p>
    <w:p w14:paraId="206C3035">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四、合同价款</w:t>
      </w:r>
    </w:p>
    <w:p w14:paraId="0A57F0D6">
      <w:pPr>
        <w:widowControl/>
        <w:spacing w:line="360" w:lineRule="auto"/>
        <w:ind w:left="479" w:leftChars="228"/>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合同暂定含税总价（大写人民币）:</w:t>
      </w:r>
      <w:bookmarkStart w:id="1" w:name="_Hlk38636273"/>
      <w:r>
        <w:rPr>
          <w:rFonts w:ascii="宋体" w:hAnsi="宋体" w:eastAsia="宋体" w:cs="宋体"/>
          <w:kern w:val="0"/>
          <w:sz w:val="24"/>
          <w:szCs w:val="24"/>
          <w:u w:val="single"/>
        </w:rPr>
        <w:t xml:space="preserve">           </w:t>
      </w:r>
      <w:r>
        <w:rPr>
          <w:rFonts w:hint="eastAsia" w:ascii="宋体" w:hAnsi="宋体" w:eastAsia="宋体" w:cs="宋体"/>
          <w:kern w:val="0"/>
          <w:sz w:val="24"/>
          <w:szCs w:val="24"/>
        </w:rPr>
        <w:t>（小写￥: 元），不含税总价（大写人民币）:</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（小写￥: 元），税率：</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w:t>
      </w:r>
    </w:p>
    <w:bookmarkEnd w:id="1"/>
    <w:p w14:paraId="07911C20">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本合同为固定单价合同，单价结算时不予调整，</w:t>
      </w:r>
      <w:r>
        <w:rPr>
          <w:rFonts w:hint="eastAsia" w:ascii="宋体" w:hAnsi="宋体" w:eastAsia="宋体" w:cs="宋体"/>
          <w:kern w:val="0"/>
          <w:sz w:val="24"/>
          <w:szCs w:val="24"/>
          <w:lang w:val="en-US" w:eastAsia="zh-CN"/>
        </w:rPr>
        <w:t>以实际工程量结算，</w:t>
      </w:r>
      <w:r>
        <w:rPr>
          <w:rFonts w:hint="eastAsia" w:ascii="宋体" w:hAnsi="宋体" w:eastAsia="宋体" w:cs="宋体"/>
          <w:kern w:val="0"/>
          <w:sz w:val="24"/>
          <w:szCs w:val="24"/>
        </w:rPr>
        <w:t>费用已包括人工费、服务费、材料费、机械费、管理费、措施费（包括但不限于安全文明施工费等）、风险费、利润、设计费、差旅费、通勤费、通讯费、安装费、场地费、福田保税区海关报关费、维护费、保修费、保险费及税金等为实施</w:t>
      </w:r>
      <w:r>
        <w:rPr>
          <w:rFonts w:hint="eastAsia" w:ascii="宋体" w:hAnsi="宋体" w:eastAsia="宋体" w:cs="宋体"/>
          <w:kern w:val="0"/>
          <w:sz w:val="24"/>
          <w:szCs w:val="24"/>
          <w:lang w:eastAsia="zh-Hans"/>
        </w:rPr>
        <w:t>本合同服务内容</w:t>
      </w:r>
      <w:r>
        <w:rPr>
          <w:rFonts w:hint="eastAsia" w:ascii="宋体" w:hAnsi="宋体" w:eastAsia="宋体" w:cs="宋体"/>
          <w:kern w:val="0"/>
          <w:sz w:val="24"/>
          <w:szCs w:val="24"/>
        </w:rPr>
        <w:t>所需的一切费用，专利或专有技术使用费已含在合同总价内，不单独另行计取。</w:t>
      </w:r>
    </w:p>
    <w:p w14:paraId="3601D330">
      <w:pPr>
        <w:pStyle w:val="4"/>
        <w:spacing w:line="360" w:lineRule="auto"/>
        <w:ind w:firstLine="480"/>
      </w:pPr>
      <w:r>
        <w:rPr>
          <w:rFonts w:hint="eastAsia" w:ascii="宋体" w:hAnsi="宋体" w:cs="宋体"/>
          <w:kern w:val="0"/>
        </w:rPr>
        <w:t>如本合同项下增值税税率因税法规定发生变动，本合同项下含税价保持不变，不含税价根据变动后的税率调整。</w:t>
      </w:r>
    </w:p>
    <w:p w14:paraId="5E65E69A">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分项价格明细：</w:t>
      </w:r>
    </w:p>
    <w:tbl>
      <w:tblPr>
        <w:tblStyle w:val="14"/>
        <w:tblW w:w="4996" w:type="pct"/>
        <w:tblInd w:w="0" w:type="dxa"/>
        <w:tblLayout w:type="autofit"/>
        <w:tblCellMar>
          <w:top w:w="0" w:type="dxa"/>
          <w:left w:w="108" w:type="dxa"/>
          <w:bottom w:w="0" w:type="dxa"/>
          <w:right w:w="108" w:type="dxa"/>
        </w:tblCellMar>
      </w:tblPr>
      <w:tblGrid>
        <w:gridCol w:w="637"/>
        <w:gridCol w:w="502"/>
        <w:gridCol w:w="2725"/>
        <w:gridCol w:w="1044"/>
        <w:gridCol w:w="1016"/>
        <w:gridCol w:w="616"/>
        <w:gridCol w:w="417"/>
        <w:gridCol w:w="824"/>
        <w:gridCol w:w="820"/>
        <w:gridCol w:w="679"/>
      </w:tblGrid>
      <w:tr w14:paraId="4C04EA5D">
        <w:trPr>
          <w:trHeight w:val="48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1D000">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项目</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A0DF">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范围</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8D372">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材料工艺说明</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FA0AE">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规格/品牌/型号</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B9DA5">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尺寸</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27479">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7DE2D">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0B7D0">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单价（元）</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720B0">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总价（元）</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73590">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备注</w:t>
            </w:r>
          </w:p>
        </w:tc>
      </w:tr>
      <w:tr w14:paraId="4EBF6B73">
        <w:tblPrEx>
          <w:tblCellMar>
            <w:top w:w="0" w:type="dxa"/>
            <w:left w:w="108" w:type="dxa"/>
            <w:bottom w:w="0" w:type="dxa"/>
            <w:right w:w="108" w:type="dxa"/>
          </w:tblCellMar>
        </w:tblPrEx>
        <w:trPr>
          <w:trHeight w:val="800" w:hRule="atLeast"/>
        </w:trPr>
        <w:tc>
          <w:tcPr>
            <w:tcW w:w="3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24DB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河套壹号楼体字</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484D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北侧 1</w:t>
            </w:r>
          </w:p>
        </w:tc>
        <w:tc>
          <w:tcPr>
            <w:tcW w:w="14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B4D77">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1 文字：550高清喷绘白色画面</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 光源：5050广告模块灯（白色）沿字边缘安装</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3 电源：PVC线管、防水电箱、电表、漏电开关、空气开关及微电脑定时器</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4 主线：三芯2.5平方电线+4平方电缆线等</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5 其他辅料等，高空安装，外墙固定</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18461">
            <w:pPr>
              <w:jc w:val="left"/>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01C7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7.5m*58m（H）</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1766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435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A496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5B84F">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E22C1">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D530E">
            <w:pPr>
              <w:rPr>
                <w:rFonts w:hint="eastAsia" w:ascii="宋体" w:hAnsi="宋体" w:eastAsia="宋体" w:cs="宋体"/>
                <w:color w:val="000000"/>
                <w:sz w:val="20"/>
                <w:szCs w:val="20"/>
              </w:rPr>
            </w:pPr>
          </w:p>
        </w:tc>
      </w:tr>
      <w:tr w14:paraId="623D2123">
        <w:tblPrEx>
          <w:tblCellMar>
            <w:top w:w="0" w:type="dxa"/>
            <w:left w:w="108" w:type="dxa"/>
            <w:bottom w:w="0" w:type="dxa"/>
            <w:right w:w="108" w:type="dxa"/>
          </w:tblCellMar>
        </w:tblPrEx>
        <w:trPr>
          <w:trHeight w:val="80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1A55D">
            <w:pPr>
              <w:jc w:val="center"/>
              <w:rPr>
                <w:rFonts w:hint="eastAsia" w:ascii="宋体" w:hAnsi="宋体" w:eastAsia="宋体" w:cs="宋体"/>
                <w:color w:val="000000"/>
                <w:sz w:val="20"/>
                <w:szCs w:val="20"/>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0D8C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北侧 2</w:t>
            </w:r>
          </w:p>
        </w:tc>
        <w:tc>
          <w:tcPr>
            <w:tcW w:w="14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6D012">
            <w:pPr>
              <w:jc w:val="left"/>
              <w:rPr>
                <w:rFonts w:hint="eastAsia" w:ascii="宋体" w:hAnsi="宋体" w:eastAsia="宋体" w:cs="宋体"/>
                <w:sz w:val="20"/>
                <w:szCs w:val="20"/>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3AC10">
            <w:pPr>
              <w:jc w:val="left"/>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17A3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7.5m*58m</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8394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435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9511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2751C">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57E0A">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CEFEA">
            <w:pPr>
              <w:rPr>
                <w:rFonts w:hint="eastAsia" w:ascii="宋体" w:hAnsi="宋体" w:eastAsia="宋体" w:cs="宋体"/>
                <w:color w:val="000000"/>
                <w:sz w:val="20"/>
                <w:szCs w:val="20"/>
              </w:rPr>
            </w:pPr>
          </w:p>
        </w:tc>
      </w:tr>
      <w:tr w14:paraId="74F46998">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362CE">
            <w:pPr>
              <w:jc w:val="center"/>
              <w:rPr>
                <w:rFonts w:hint="eastAsia" w:ascii="宋体" w:hAnsi="宋体" w:eastAsia="宋体" w:cs="宋体"/>
                <w:color w:val="000000"/>
                <w:sz w:val="20"/>
                <w:szCs w:val="20"/>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67F7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西侧</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C2020">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1:底面基材为高强度阻燃网(黑色和灰色可选)</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B663C">
            <w:pPr>
              <w:rPr>
                <w:rFonts w:hint="eastAsia" w:ascii="宋体" w:hAnsi="宋体" w:eastAsia="宋体" w:cs="宋体"/>
                <w:color w:val="000000"/>
                <w:sz w:val="20"/>
                <w:szCs w:val="20"/>
              </w:rPr>
            </w:pP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70502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28m*55m</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C3DF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1540 </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9ACBB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4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5883C6">
            <w:pPr>
              <w:jc w:val="center"/>
              <w:rPr>
                <w:rFonts w:hint="eastAsia" w:ascii="宋体" w:hAnsi="宋体" w:eastAsia="宋体" w:cs="宋体"/>
                <w:color w:val="000000"/>
                <w:sz w:val="20"/>
                <w:szCs w:val="20"/>
              </w:rPr>
            </w:pPr>
          </w:p>
        </w:tc>
        <w:tc>
          <w:tcPr>
            <w:tcW w:w="4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A5494C">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0E9D3">
            <w:pPr>
              <w:rPr>
                <w:rFonts w:hint="eastAsia" w:ascii="宋体" w:hAnsi="宋体" w:eastAsia="宋体" w:cs="宋体"/>
                <w:color w:val="000000"/>
                <w:sz w:val="20"/>
                <w:szCs w:val="20"/>
              </w:rPr>
            </w:pPr>
          </w:p>
        </w:tc>
      </w:tr>
      <w:tr w14:paraId="2B593A37">
        <w:tblPrEx>
          <w:tblCellMar>
            <w:top w:w="0" w:type="dxa"/>
            <w:left w:w="108" w:type="dxa"/>
            <w:bottom w:w="0" w:type="dxa"/>
            <w:right w:w="108" w:type="dxa"/>
          </w:tblCellMar>
        </w:tblPrEx>
        <w:trPr>
          <w:trHeight w:val="13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3129D">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ED0EB">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7331C">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2:轮廓灯管使用户外防水低压透明灯带</w:t>
            </w:r>
            <w:r>
              <w:rPr>
                <w:rStyle w:val="34"/>
                <w:rFonts w:hint="default"/>
                <w:color w:val="auto"/>
                <w:lang w:bidi="ar"/>
              </w:rPr>
              <w:t>(灯珠品牌:科锐、飞利浦、日亚、欧司朗)</w:t>
            </w:r>
            <w:r>
              <w:rPr>
                <w:rFonts w:hint="eastAsia" w:ascii="宋体" w:hAnsi="宋体" w:eastAsia="宋体" w:cs="宋体"/>
                <w:kern w:val="0"/>
                <w:sz w:val="20"/>
                <w:szCs w:val="20"/>
                <w:lang w:bidi="ar"/>
              </w:rPr>
              <w:t>直径10mm全部低压灯保证安全。质量稳定，大面积色块采用户外低压星星灯填充，动态闪动位置使用透镜点光源</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23961">
            <w:pPr>
              <w:rPr>
                <w:rFonts w:hint="eastAsia" w:ascii="宋体" w:hAnsi="宋体" w:eastAsia="宋体" w:cs="宋体"/>
                <w:color w:val="000000"/>
                <w:sz w:val="20"/>
                <w:szCs w:val="20"/>
              </w:rPr>
            </w:pPr>
          </w:p>
        </w:tc>
        <w:tc>
          <w:tcPr>
            <w:tcW w:w="5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AFAB0">
            <w:pPr>
              <w:jc w:val="center"/>
              <w:rPr>
                <w:rFonts w:hint="eastAsia" w:ascii="宋体" w:hAnsi="宋体" w:eastAsia="宋体" w:cs="宋体"/>
                <w:color w:val="000000"/>
                <w:sz w:val="20"/>
                <w:szCs w:val="20"/>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82292">
            <w:pPr>
              <w:jc w:val="center"/>
              <w:rPr>
                <w:rFonts w:hint="eastAsia" w:ascii="宋体" w:hAnsi="宋体" w:eastAsia="宋体" w:cs="宋体"/>
                <w:color w:val="000000"/>
                <w:sz w:val="20"/>
                <w:szCs w:val="20"/>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481A8">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0C1ED">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C7C7A">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9049C">
            <w:pPr>
              <w:rPr>
                <w:rFonts w:hint="eastAsia" w:ascii="宋体" w:hAnsi="宋体" w:eastAsia="宋体" w:cs="宋体"/>
                <w:color w:val="000000"/>
                <w:sz w:val="20"/>
                <w:szCs w:val="20"/>
              </w:rPr>
            </w:pPr>
          </w:p>
        </w:tc>
      </w:tr>
      <w:tr w14:paraId="0D137404">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EA6E8">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2586D">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5D4DB">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3:灯饰画中间和四周加固钢丝绳，抗风更牢固</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9BE7F">
            <w:pPr>
              <w:rPr>
                <w:rFonts w:hint="eastAsia" w:ascii="宋体" w:hAnsi="宋体" w:eastAsia="宋体" w:cs="宋体"/>
                <w:color w:val="000000"/>
                <w:sz w:val="20"/>
                <w:szCs w:val="20"/>
              </w:rPr>
            </w:pPr>
          </w:p>
        </w:tc>
        <w:tc>
          <w:tcPr>
            <w:tcW w:w="5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F376F">
            <w:pPr>
              <w:jc w:val="center"/>
              <w:rPr>
                <w:rFonts w:hint="eastAsia" w:ascii="宋体" w:hAnsi="宋体" w:eastAsia="宋体" w:cs="宋体"/>
                <w:color w:val="000000"/>
                <w:sz w:val="20"/>
                <w:szCs w:val="20"/>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87989">
            <w:pPr>
              <w:jc w:val="center"/>
              <w:rPr>
                <w:rFonts w:hint="eastAsia" w:ascii="宋体" w:hAnsi="宋体" w:eastAsia="宋体" w:cs="宋体"/>
                <w:color w:val="000000"/>
                <w:sz w:val="20"/>
                <w:szCs w:val="20"/>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0BA3A">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0DA53">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9092D">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1FB86">
            <w:pPr>
              <w:rPr>
                <w:rFonts w:hint="eastAsia" w:ascii="宋体" w:hAnsi="宋体" w:eastAsia="宋体" w:cs="宋体"/>
                <w:color w:val="000000"/>
                <w:sz w:val="20"/>
                <w:szCs w:val="20"/>
              </w:rPr>
            </w:pPr>
          </w:p>
        </w:tc>
      </w:tr>
      <w:tr w14:paraId="6AD70881">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51581">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2C7F0">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EC05C">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4:24V变压器工程款，含动态控制器</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3B76C">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88EC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DC55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60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C959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38F4A">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B8586">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7FAA8">
            <w:pPr>
              <w:rPr>
                <w:rFonts w:hint="eastAsia" w:ascii="宋体" w:hAnsi="宋体" w:eastAsia="宋体" w:cs="宋体"/>
                <w:color w:val="000000"/>
                <w:sz w:val="20"/>
                <w:szCs w:val="20"/>
              </w:rPr>
            </w:pPr>
          </w:p>
        </w:tc>
      </w:tr>
      <w:tr w14:paraId="1BD3CC32">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1096C">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8F962">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E4647">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5:质期整体质保一年。(均采用低压灯)</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C23D0">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4412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FBCA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3ABC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7E8BC">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F2F70">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BE63A">
            <w:pPr>
              <w:rPr>
                <w:rFonts w:hint="eastAsia" w:ascii="宋体" w:hAnsi="宋体" w:eastAsia="宋体" w:cs="宋体"/>
                <w:color w:val="000000"/>
                <w:sz w:val="20"/>
                <w:szCs w:val="20"/>
              </w:rPr>
            </w:pPr>
          </w:p>
        </w:tc>
      </w:tr>
      <w:tr w14:paraId="0F2B515E">
        <w:tblPrEx>
          <w:tblCellMar>
            <w:top w:w="0" w:type="dxa"/>
            <w:left w:w="108" w:type="dxa"/>
            <w:bottom w:w="0" w:type="dxa"/>
            <w:right w:w="108" w:type="dxa"/>
          </w:tblCellMar>
        </w:tblPrEx>
        <w:trPr>
          <w:trHeight w:val="11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EBE02">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125B0">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08CD6">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6:线材:3芯额定电压450/750V及以下聚氯乙烯绝户外工程电缆线</w:t>
            </w:r>
            <w:r>
              <w:rPr>
                <w:rStyle w:val="34"/>
                <w:rFonts w:hint="default"/>
                <w:color w:val="auto"/>
                <w:lang w:bidi="ar"/>
              </w:rPr>
              <w:t>(参考品牌:亨通光电、广东长江（南光牌）、金龙羽、新威讯、奔达康、金环宇、环市、深圳成天泰)</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96869">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CB4D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E826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FFCE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982D0">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5D63A">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D5EA2">
            <w:pPr>
              <w:rPr>
                <w:rFonts w:hint="eastAsia" w:ascii="宋体" w:hAnsi="宋体" w:eastAsia="宋体" w:cs="宋体"/>
                <w:color w:val="000000"/>
                <w:sz w:val="20"/>
                <w:szCs w:val="20"/>
              </w:rPr>
            </w:pPr>
          </w:p>
        </w:tc>
      </w:tr>
      <w:tr w14:paraId="322FC7EE">
        <w:tblPrEx>
          <w:tblCellMar>
            <w:top w:w="0" w:type="dxa"/>
            <w:left w:w="108" w:type="dxa"/>
            <w:bottom w:w="0" w:type="dxa"/>
            <w:right w:w="108" w:type="dxa"/>
          </w:tblCellMar>
        </w:tblPrEx>
        <w:trPr>
          <w:trHeight w:val="70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EDB55">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7556E">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FBDC1">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7：MNL户外24V变压器工程款电源</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AD917">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9DEE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8F1A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30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E078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72161">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DFB21">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79E44">
            <w:pPr>
              <w:rPr>
                <w:rFonts w:hint="eastAsia" w:ascii="宋体" w:hAnsi="宋体" w:eastAsia="宋体" w:cs="宋体"/>
                <w:color w:val="000000"/>
                <w:sz w:val="20"/>
                <w:szCs w:val="20"/>
              </w:rPr>
            </w:pPr>
          </w:p>
        </w:tc>
      </w:tr>
      <w:tr w14:paraId="55335603">
        <w:tblPrEx>
          <w:tblCellMar>
            <w:top w:w="0" w:type="dxa"/>
            <w:left w:w="108" w:type="dxa"/>
            <w:bottom w:w="0" w:type="dxa"/>
            <w:right w:w="108" w:type="dxa"/>
          </w:tblCellMar>
        </w:tblPrEx>
        <w:trPr>
          <w:trHeight w:val="7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671BE0">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C93DA">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28DCB">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8：时控开关：G316T220V380V时间控制器微电脑定时器电源全自动</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DC936">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A7BD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DFD1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FFA1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47C62">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6A9B9">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1901D">
            <w:pPr>
              <w:rPr>
                <w:rFonts w:hint="eastAsia" w:ascii="宋体" w:hAnsi="宋体" w:eastAsia="宋体" w:cs="宋体"/>
                <w:color w:val="000000"/>
                <w:sz w:val="20"/>
                <w:szCs w:val="20"/>
              </w:rPr>
            </w:pPr>
          </w:p>
        </w:tc>
      </w:tr>
      <w:tr w14:paraId="7F795A0A">
        <w:tblPrEx>
          <w:tblCellMar>
            <w:top w:w="0" w:type="dxa"/>
            <w:left w:w="108" w:type="dxa"/>
            <w:bottom w:w="0" w:type="dxa"/>
            <w:right w:w="108" w:type="dxa"/>
          </w:tblCellMar>
        </w:tblPrEx>
        <w:trPr>
          <w:trHeight w:val="96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B4C8E">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AA271">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070DA">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9：幻彩可编程控制器8路点光源LED多台同步级联控制器</w:t>
            </w:r>
            <w:bookmarkStart w:id="25" w:name="_GoBack"/>
            <w:bookmarkEnd w:id="25"/>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2DAD6">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2431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BBF6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10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40DF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548A8">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1AD71">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9D0C6">
            <w:pPr>
              <w:rPr>
                <w:rFonts w:hint="eastAsia" w:ascii="宋体" w:hAnsi="宋体" w:eastAsia="宋体" w:cs="宋体"/>
                <w:color w:val="000000"/>
                <w:sz w:val="20"/>
                <w:szCs w:val="20"/>
              </w:rPr>
            </w:pPr>
          </w:p>
        </w:tc>
      </w:tr>
      <w:tr w14:paraId="399DF035">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92F56">
            <w:pPr>
              <w:jc w:val="center"/>
              <w:rPr>
                <w:rFonts w:hint="eastAsia" w:ascii="宋体" w:hAnsi="宋体" w:eastAsia="宋体" w:cs="宋体"/>
                <w:color w:val="000000"/>
                <w:sz w:val="20"/>
                <w:szCs w:val="20"/>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F7693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东侧</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E5D40">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1:底面基材为高强度阻燃网(黑色和灰色可选)</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1CF79">
            <w:pPr>
              <w:rPr>
                <w:rFonts w:hint="eastAsia" w:ascii="宋体" w:hAnsi="宋体" w:eastAsia="宋体" w:cs="宋体"/>
                <w:color w:val="000000"/>
                <w:sz w:val="20"/>
                <w:szCs w:val="20"/>
              </w:rPr>
            </w:pP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8AAF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24m*46m</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F6B8F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1104 </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9C60D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4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850145">
            <w:pPr>
              <w:jc w:val="center"/>
              <w:rPr>
                <w:rFonts w:hint="eastAsia" w:ascii="宋体" w:hAnsi="宋体" w:eastAsia="宋体" w:cs="宋体"/>
                <w:color w:val="000000"/>
                <w:sz w:val="20"/>
                <w:szCs w:val="20"/>
              </w:rPr>
            </w:pPr>
          </w:p>
        </w:tc>
        <w:tc>
          <w:tcPr>
            <w:tcW w:w="4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588941">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F31AF">
            <w:pPr>
              <w:rPr>
                <w:rFonts w:hint="eastAsia" w:ascii="宋体" w:hAnsi="宋体" w:eastAsia="宋体" w:cs="宋体"/>
                <w:color w:val="000000"/>
                <w:sz w:val="20"/>
                <w:szCs w:val="20"/>
              </w:rPr>
            </w:pPr>
          </w:p>
        </w:tc>
      </w:tr>
      <w:tr w14:paraId="1227487A">
        <w:tblPrEx>
          <w:tblCellMar>
            <w:top w:w="0" w:type="dxa"/>
            <w:left w:w="108" w:type="dxa"/>
            <w:bottom w:w="0" w:type="dxa"/>
            <w:right w:w="108" w:type="dxa"/>
          </w:tblCellMar>
        </w:tblPrEx>
        <w:trPr>
          <w:trHeight w:val="14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AF124">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DCC19">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0BCCE">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2:轮廓灯管使用户外防水低压透明灯带</w:t>
            </w:r>
            <w:r>
              <w:rPr>
                <w:rStyle w:val="34"/>
                <w:rFonts w:hint="default"/>
                <w:color w:val="auto"/>
                <w:lang w:bidi="ar"/>
              </w:rPr>
              <w:t>(灯珠参考品牌:科锐、飞利浦、日亚、欧司朗)</w:t>
            </w:r>
            <w:r>
              <w:rPr>
                <w:rFonts w:hint="eastAsia" w:ascii="宋体" w:hAnsi="宋体" w:eastAsia="宋体" w:cs="宋体"/>
                <w:kern w:val="0"/>
                <w:sz w:val="20"/>
                <w:szCs w:val="20"/>
                <w:lang w:bidi="ar"/>
              </w:rPr>
              <w:t>直径10mm全部低压灯保证安全。质量稳定，大面积色块采用户外低压星星灯填充，动态闪动位置使用透镜点光源</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95FD5">
            <w:pPr>
              <w:rPr>
                <w:rFonts w:hint="eastAsia" w:ascii="宋体" w:hAnsi="宋体" w:eastAsia="宋体" w:cs="宋体"/>
                <w:color w:val="000000"/>
                <w:sz w:val="20"/>
                <w:szCs w:val="20"/>
              </w:rPr>
            </w:pPr>
          </w:p>
        </w:tc>
        <w:tc>
          <w:tcPr>
            <w:tcW w:w="5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1D81E">
            <w:pPr>
              <w:jc w:val="center"/>
              <w:rPr>
                <w:rFonts w:hint="eastAsia" w:ascii="宋体" w:hAnsi="宋体" w:eastAsia="宋体" w:cs="宋体"/>
                <w:color w:val="000000"/>
                <w:sz w:val="20"/>
                <w:szCs w:val="20"/>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C29C3">
            <w:pPr>
              <w:jc w:val="center"/>
              <w:rPr>
                <w:rFonts w:hint="eastAsia" w:ascii="宋体" w:hAnsi="宋体" w:eastAsia="宋体" w:cs="宋体"/>
                <w:color w:val="000000"/>
                <w:sz w:val="20"/>
                <w:szCs w:val="20"/>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F569E">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D1694">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0B1CC">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72213">
            <w:pPr>
              <w:rPr>
                <w:rFonts w:hint="eastAsia" w:ascii="宋体" w:hAnsi="宋体" w:eastAsia="宋体" w:cs="宋体"/>
                <w:color w:val="000000"/>
                <w:sz w:val="20"/>
                <w:szCs w:val="20"/>
              </w:rPr>
            </w:pPr>
          </w:p>
        </w:tc>
      </w:tr>
      <w:tr w14:paraId="20FE5122">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A6D73">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9154E">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E88F8">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3:灯饰画中间和四周加固钢丝绳，抗风更牢固</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A48A7">
            <w:pPr>
              <w:rPr>
                <w:rFonts w:hint="eastAsia" w:ascii="宋体" w:hAnsi="宋体" w:eastAsia="宋体" w:cs="宋体"/>
                <w:color w:val="000000"/>
                <w:sz w:val="20"/>
                <w:szCs w:val="20"/>
              </w:rPr>
            </w:pPr>
          </w:p>
        </w:tc>
        <w:tc>
          <w:tcPr>
            <w:tcW w:w="5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A642B">
            <w:pPr>
              <w:jc w:val="center"/>
              <w:rPr>
                <w:rFonts w:hint="eastAsia" w:ascii="宋体" w:hAnsi="宋体" w:eastAsia="宋体" w:cs="宋体"/>
                <w:color w:val="000000"/>
                <w:sz w:val="20"/>
                <w:szCs w:val="20"/>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789A3">
            <w:pPr>
              <w:jc w:val="center"/>
              <w:rPr>
                <w:rFonts w:hint="eastAsia" w:ascii="宋体" w:hAnsi="宋体" w:eastAsia="宋体" w:cs="宋体"/>
                <w:color w:val="000000"/>
                <w:sz w:val="20"/>
                <w:szCs w:val="20"/>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43E2C">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0D089">
            <w:pPr>
              <w:jc w:val="center"/>
              <w:rPr>
                <w:rFonts w:hint="eastAsia" w:ascii="宋体" w:hAnsi="宋体" w:eastAsia="宋体" w:cs="宋体"/>
                <w:color w:val="000000"/>
                <w:sz w:val="20"/>
                <w:szCs w:val="20"/>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F74D3F">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F8251">
            <w:pPr>
              <w:rPr>
                <w:rFonts w:hint="eastAsia" w:ascii="宋体" w:hAnsi="宋体" w:eastAsia="宋体" w:cs="宋体"/>
                <w:color w:val="000000"/>
                <w:sz w:val="20"/>
                <w:szCs w:val="20"/>
              </w:rPr>
            </w:pPr>
          </w:p>
        </w:tc>
      </w:tr>
      <w:tr w14:paraId="6B6A937F">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733A2">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DA65B">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886A6">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4:24V变压器工程款，含动态控制器</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132BA">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370B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A59B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45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30D3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2703A">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CBA76">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90DF0">
            <w:pPr>
              <w:rPr>
                <w:rFonts w:hint="eastAsia" w:ascii="宋体" w:hAnsi="宋体" w:eastAsia="宋体" w:cs="宋体"/>
                <w:color w:val="000000"/>
                <w:sz w:val="20"/>
                <w:szCs w:val="20"/>
              </w:rPr>
            </w:pPr>
          </w:p>
        </w:tc>
      </w:tr>
      <w:tr w14:paraId="4AC2B546">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AC42B">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6A02C">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19A52">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5:质期整体质保一年。(均采用低压灯)</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401AA">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B999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74A6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7E51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EF119">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9ABAA">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D4D4F">
            <w:pPr>
              <w:rPr>
                <w:rFonts w:hint="eastAsia" w:ascii="宋体" w:hAnsi="宋体" w:eastAsia="宋体" w:cs="宋体"/>
                <w:color w:val="000000"/>
                <w:sz w:val="20"/>
                <w:szCs w:val="20"/>
              </w:rPr>
            </w:pPr>
          </w:p>
        </w:tc>
      </w:tr>
      <w:tr w14:paraId="22C7301C">
        <w:tblPrEx>
          <w:tblCellMar>
            <w:top w:w="0" w:type="dxa"/>
            <w:left w:w="108" w:type="dxa"/>
            <w:bottom w:w="0" w:type="dxa"/>
            <w:right w:w="108" w:type="dxa"/>
          </w:tblCellMar>
        </w:tblPrEx>
        <w:trPr>
          <w:trHeight w:val="106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D18CC">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9F535">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49108">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6:线材:3芯额定电压450/750V及以下聚氯乙烯绝户外工程电缆线</w:t>
            </w:r>
            <w:r>
              <w:rPr>
                <w:rStyle w:val="34"/>
                <w:rFonts w:hint="default"/>
                <w:color w:val="auto"/>
                <w:lang w:bidi="ar"/>
              </w:rPr>
              <w:t>(参考品牌:亨通光电、广东长江（南光牌）、金龙羽、新威讯、奔达康、金环宇、环市、深圳成天泰)</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65131">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502B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374C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DB95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77EB1">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71E4D">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F9F76">
            <w:pPr>
              <w:rPr>
                <w:rFonts w:hint="eastAsia" w:ascii="宋体" w:hAnsi="宋体" w:eastAsia="宋体" w:cs="宋体"/>
                <w:color w:val="000000"/>
                <w:sz w:val="20"/>
                <w:szCs w:val="20"/>
              </w:rPr>
            </w:pPr>
          </w:p>
        </w:tc>
      </w:tr>
      <w:tr w14:paraId="05A3C569">
        <w:tblPrEx>
          <w:tblCellMar>
            <w:top w:w="0" w:type="dxa"/>
            <w:left w:w="108" w:type="dxa"/>
            <w:bottom w:w="0" w:type="dxa"/>
            <w:right w:w="108" w:type="dxa"/>
          </w:tblCellMar>
        </w:tblPrEx>
        <w:trPr>
          <w:trHeight w:val="5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9428C">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4DA33">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577CA">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7：MNL户外24V变压器工程款电源</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64A9C">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7DB2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E68F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24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1157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17B22">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700FF">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EC55E">
            <w:pPr>
              <w:rPr>
                <w:rFonts w:hint="eastAsia" w:ascii="宋体" w:hAnsi="宋体" w:eastAsia="宋体" w:cs="宋体"/>
                <w:color w:val="000000"/>
                <w:sz w:val="20"/>
                <w:szCs w:val="20"/>
              </w:rPr>
            </w:pPr>
          </w:p>
        </w:tc>
      </w:tr>
      <w:tr w14:paraId="7F795B01">
        <w:tblPrEx>
          <w:tblCellMar>
            <w:top w:w="0" w:type="dxa"/>
            <w:left w:w="108" w:type="dxa"/>
            <w:bottom w:w="0" w:type="dxa"/>
            <w:right w:w="108" w:type="dxa"/>
          </w:tblCellMar>
        </w:tblPrEx>
        <w:trPr>
          <w:trHeight w:val="96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687C1">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B9C7E">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EA7E2">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8：时控开关：G316T220V380V时间控制器微电脑定时器电源全自动</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1085A">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CD48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3929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2D81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73698">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2EF50">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7643A">
            <w:pPr>
              <w:rPr>
                <w:rFonts w:hint="eastAsia" w:ascii="宋体" w:hAnsi="宋体" w:eastAsia="宋体" w:cs="宋体"/>
                <w:color w:val="000000"/>
                <w:sz w:val="20"/>
                <w:szCs w:val="20"/>
              </w:rPr>
            </w:pPr>
          </w:p>
        </w:tc>
      </w:tr>
      <w:tr w14:paraId="7AA74F71">
        <w:tblPrEx>
          <w:tblCellMar>
            <w:top w:w="0" w:type="dxa"/>
            <w:left w:w="108" w:type="dxa"/>
            <w:bottom w:w="0" w:type="dxa"/>
            <w:right w:w="108" w:type="dxa"/>
          </w:tblCellMar>
        </w:tblPrEx>
        <w:trPr>
          <w:trHeight w:val="96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3D175">
            <w:pPr>
              <w:jc w:val="center"/>
              <w:rPr>
                <w:rFonts w:hint="eastAsia" w:ascii="宋体" w:hAnsi="宋体" w:eastAsia="宋体" w:cs="宋体"/>
                <w:color w:val="000000"/>
                <w:sz w:val="20"/>
                <w:szCs w:val="20"/>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96EA3">
            <w:pPr>
              <w:jc w:val="center"/>
              <w:rPr>
                <w:rFonts w:hint="eastAsia" w:ascii="宋体" w:hAnsi="宋体" w:eastAsia="宋体" w:cs="宋体"/>
                <w:color w:val="000000"/>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464C7">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9：幻彩可编程控制器8路点光源LED多台同步级联控制器</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FF9C3">
            <w:pP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3A7F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5BEC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7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89CC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CD4FC">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1B61F">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4CD7D">
            <w:pPr>
              <w:jc w:val="left"/>
              <w:rPr>
                <w:rFonts w:hint="eastAsia" w:ascii="宋体" w:hAnsi="宋体" w:eastAsia="宋体" w:cs="宋体"/>
                <w:color w:val="000000"/>
                <w:sz w:val="20"/>
                <w:szCs w:val="20"/>
              </w:rPr>
            </w:pPr>
          </w:p>
        </w:tc>
      </w:tr>
      <w:tr w14:paraId="705BEBF6">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6C256">
            <w:pPr>
              <w:jc w:val="center"/>
              <w:rPr>
                <w:rFonts w:hint="eastAsia" w:ascii="宋体" w:hAnsi="宋体" w:eastAsia="宋体" w:cs="宋体"/>
                <w:color w:val="000000"/>
                <w:sz w:val="20"/>
                <w:szCs w:val="20"/>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01AF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人工费</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367E0">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人工费</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71EB8">
            <w:pPr>
              <w:jc w:val="cente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6CD0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935A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E32D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17879">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D8DB6">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7E4BB">
            <w:pPr>
              <w:jc w:val="left"/>
              <w:rPr>
                <w:rFonts w:hint="eastAsia" w:ascii="宋体" w:hAnsi="宋体" w:eastAsia="宋体" w:cs="宋体"/>
                <w:color w:val="000000"/>
                <w:sz w:val="20"/>
                <w:szCs w:val="20"/>
              </w:rPr>
            </w:pPr>
          </w:p>
        </w:tc>
      </w:tr>
      <w:tr w14:paraId="0920A7D9">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F06C8">
            <w:pPr>
              <w:jc w:val="center"/>
              <w:rPr>
                <w:rFonts w:hint="eastAsia" w:ascii="宋体" w:hAnsi="宋体" w:eastAsia="宋体" w:cs="宋体"/>
                <w:color w:val="000000"/>
                <w:sz w:val="20"/>
                <w:szCs w:val="20"/>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17B9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运输费</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884F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运输费</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0279C">
            <w:pPr>
              <w:jc w:val="center"/>
              <w:rPr>
                <w:rFonts w:hint="eastAsia" w:ascii="宋体" w:hAnsi="宋体" w:eastAsia="宋体" w:cs="宋体"/>
                <w:color w:val="000000"/>
                <w:sz w:val="20"/>
                <w:szCs w:val="20"/>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F5F4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609F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0FD8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23367">
            <w:pPr>
              <w:jc w:val="center"/>
              <w:rPr>
                <w:rFonts w:hint="eastAsia" w:ascii="宋体" w:hAnsi="宋体" w:eastAsia="宋体" w:cs="宋体"/>
                <w:color w:val="000000"/>
                <w:sz w:val="20"/>
                <w:szCs w:val="20"/>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303C8">
            <w:pPr>
              <w:jc w:val="center"/>
              <w:rPr>
                <w:rFonts w:hint="eastAsia" w:ascii="宋体" w:hAnsi="宋体" w:eastAsia="宋体" w:cs="宋体"/>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54955">
            <w:pPr>
              <w:jc w:val="left"/>
              <w:rPr>
                <w:rFonts w:hint="eastAsia" w:ascii="宋体" w:hAnsi="宋体" w:eastAsia="宋体" w:cs="宋体"/>
                <w:color w:val="000000"/>
                <w:sz w:val="20"/>
                <w:szCs w:val="20"/>
              </w:rPr>
            </w:pPr>
          </w:p>
        </w:tc>
      </w:tr>
      <w:tr w14:paraId="6EA22B49">
        <w:tblPrEx>
          <w:tblCellMar>
            <w:top w:w="0" w:type="dxa"/>
            <w:left w:w="108" w:type="dxa"/>
            <w:bottom w:w="0" w:type="dxa"/>
            <w:right w:w="108" w:type="dxa"/>
          </w:tblCellMar>
        </w:tblPrEx>
        <w:trPr>
          <w:trHeight w:val="48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1EBC1">
            <w:pPr>
              <w:jc w:val="center"/>
              <w:rPr>
                <w:rFonts w:hint="eastAsia" w:ascii="宋体" w:hAnsi="宋体" w:eastAsia="宋体" w:cs="宋体"/>
                <w:color w:val="000000"/>
                <w:sz w:val="20"/>
                <w:szCs w:val="20"/>
              </w:rPr>
            </w:pPr>
          </w:p>
        </w:tc>
        <w:tc>
          <w:tcPr>
            <w:tcW w:w="384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40639D9">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合同含税总价</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3C80A">
            <w:pPr>
              <w:jc w:val="center"/>
              <w:rPr>
                <w:rFonts w:hint="eastAsia" w:ascii="宋体" w:hAnsi="宋体" w:eastAsia="宋体" w:cs="宋体"/>
                <w:b/>
                <w:bCs/>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A119E">
            <w:pPr>
              <w:jc w:val="left"/>
              <w:rPr>
                <w:rFonts w:hint="eastAsia" w:ascii="宋体" w:hAnsi="宋体" w:eastAsia="宋体" w:cs="宋体"/>
                <w:color w:val="000000"/>
                <w:sz w:val="20"/>
                <w:szCs w:val="20"/>
              </w:rPr>
            </w:pPr>
          </w:p>
        </w:tc>
      </w:tr>
      <w:tr w14:paraId="1868680C">
        <w:tblPrEx>
          <w:tblCellMar>
            <w:top w:w="0" w:type="dxa"/>
            <w:left w:w="108" w:type="dxa"/>
            <w:bottom w:w="0" w:type="dxa"/>
            <w:right w:w="108" w:type="dxa"/>
          </w:tblCellMar>
        </w:tblPrEx>
        <w:trPr>
          <w:trHeight w:val="48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9BEE1">
            <w:pPr>
              <w:jc w:val="left"/>
              <w:rPr>
                <w:rFonts w:hint="eastAsia" w:ascii="宋体" w:hAnsi="宋体" w:eastAsia="宋体" w:cs="宋体"/>
                <w:b/>
                <w:bCs/>
                <w:color w:val="000000"/>
                <w:sz w:val="20"/>
                <w:szCs w:val="20"/>
              </w:rPr>
            </w:pPr>
          </w:p>
        </w:tc>
        <w:tc>
          <w:tcPr>
            <w:tcW w:w="384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A1FCF15">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税率</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FFE3E">
            <w:pPr>
              <w:jc w:val="center"/>
              <w:rPr>
                <w:rFonts w:hint="eastAsia" w:ascii="宋体" w:hAnsi="宋体" w:eastAsia="宋体" w:cs="宋体"/>
                <w:b/>
                <w:bCs/>
                <w:color w:val="000000"/>
                <w:sz w:val="20"/>
                <w:szCs w:val="20"/>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A660A">
            <w:pPr>
              <w:jc w:val="left"/>
              <w:rPr>
                <w:rFonts w:hint="eastAsia" w:ascii="宋体" w:hAnsi="宋体" w:eastAsia="宋体" w:cs="宋体"/>
                <w:color w:val="000000"/>
                <w:sz w:val="20"/>
                <w:szCs w:val="20"/>
              </w:rPr>
            </w:pPr>
          </w:p>
        </w:tc>
      </w:tr>
      <w:tr w14:paraId="1DC6DCEC">
        <w:tblPrEx>
          <w:tblCellMar>
            <w:top w:w="0" w:type="dxa"/>
            <w:left w:w="108" w:type="dxa"/>
            <w:bottom w:w="0" w:type="dxa"/>
            <w:right w:w="108" w:type="dxa"/>
          </w:tblCellMar>
        </w:tblPrEx>
        <w:trPr>
          <w:trHeight w:val="50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35E03BF">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高空作业涉及到安全文明施工，费用中必须包含安全文明施工费在内</w:t>
            </w:r>
          </w:p>
        </w:tc>
      </w:tr>
    </w:tbl>
    <w:p w14:paraId="74541454">
      <w:pPr>
        <w:pStyle w:val="2"/>
        <w:rPr>
          <w:rFonts w:hint="eastAsia"/>
        </w:rPr>
      </w:pPr>
    </w:p>
    <w:p w14:paraId="243191B6">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五、付款方式</w:t>
      </w:r>
    </w:p>
    <w:p w14:paraId="79B0F62D">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按甲方工作安排提供每个施工阶段的工作成果清单、证明材料及甲方要求的其他信息，按照合同约定的时间及标准完成工作并经甲方验收合格后，甲方对乙方进行履约评价后进行一次性结算，甲方在收到乙方提交的经甲方签字确认的验收单及乙方提供结算总价款的全额合法有效的增值税专用发票后，甲方在20个工作日内以转账的方式向乙方支付合同结算总价的</w:t>
      </w:r>
      <w:r>
        <w:rPr>
          <w:rFonts w:ascii="宋体" w:hAnsi="宋体" w:eastAsia="宋体" w:cs="宋体"/>
          <w:kern w:val="0"/>
          <w:sz w:val="24"/>
          <w:szCs w:val="24"/>
          <w:u w:val="single"/>
        </w:rPr>
        <w:t>9</w:t>
      </w:r>
      <w:r>
        <w:rPr>
          <w:rFonts w:hint="eastAsia" w:ascii="宋体" w:hAnsi="宋体" w:eastAsia="宋体" w:cs="宋体"/>
          <w:kern w:val="0"/>
          <w:sz w:val="24"/>
          <w:szCs w:val="24"/>
          <w:u w:val="single"/>
        </w:rPr>
        <w:t>0</w:t>
      </w:r>
      <w:r>
        <w:rPr>
          <w:rFonts w:hint="eastAsia" w:ascii="宋体" w:hAnsi="宋体" w:eastAsia="宋体" w:cs="宋体"/>
          <w:kern w:val="0"/>
          <w:sz w:val="24"/>
          <w:szCs w:val="24"/>
        </w:rPr>
        <w:t>%。待保修期届满后，无息支付剩余金额。</w:t>
      </w:r>
    </w:p>
    <w:p w14:paraId="3DEE5962">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经</w:t>
      </w:r>
      <w:r>
        <w:rPr>
          <w:rFonts w:ascii="宋体" w:hAnsi="宋体" w:eastAsia="宋体" w:cs="宋体"/>
          <w:kern w:val="0"/>
          <w:sz w:val="24"/>
          <w:szCs w:val="24"/>
        </w:rPr>
        <w:t>甲方</w:t>
      </w:r>
      <w:r>
        <w:rPr>
          <w:rFonts w:hint="eastAsia" w:ascii="宋体" w:hAnsi="宋体" w:eastAsia="宋体" w:cs="宋体"/>
          <w:kern w:val="0"/>
          <w:sz w:val="24"/>
          <w:szCs w:val="24"/>
        </w:rPr>
        <w:t>核准的违约金，</w:t>
      </w:r>
      <w:r>
        <w:rPr>
          <w:rFonts w:ascii="宋体" w:hAnsi="宋体" w:eastAsia="宋体" w:cs="宋体"/>
          <w:kern w:val="0"/>
          <w:sz w:val="24"/>
          <w:szCs w:val="24"/>
        </w:rPr>
        <w:t>甲方</w:t>
      </w:r>
      <w:r>
        <w:rPr>
          <w:rFonts w:hint="eastAsia" w:ascii="宋体" w:hAnsi="宋体" w:eastAsia="宋体" w:cs="宋体"/>
          <w:kern w:val="0"/>
          <w:sz w:val="24"/>
          <w:szCs w:val="24"/>
        </w:rPr>
        <w:t>有权在进度款或结算款中直接扣除。</w:t>
      </w:r>
    </w:p>
    <w:p w14:paraId="169EC1AE">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履约评价：</w:t>
      </w:r>
    </w:p>
    <w:p w14:paraId="5A97690F">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（1）评价等级为不合格的，扣除合同暂定含税总价10%；</w:t>
      </w:r>
    </w:p>
    <w:p w14:paraId="4392BBBB">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（2）评价等级为合格的，扣除合同暂定含税总价5%；</w:t>
      </w:r>
    </w:p>
    <w:p w14:paraId="0A18F4A3">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（3）评价等级为良好及以上的支付至结算价的100%。</w:t>
      </w:r>
    </w:p>
    <w:p w14:paraId="56EA4BCF">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注：</w:t>
      </w:r>
    </w:p>
    <w:p w14:paraId="5F4EA85A">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（1）合同暂定总价、进度款、结算价</w:t>
      </w:r>
      <w:r>
        <w:rPr>
          <w:rFonts w:ascii="宋体" w:hAnsi="宋体" w:eastAsia="宋体" w:cs="宋体"/>
          <w:kern w:val="0"/>
          <w:sz w:val="24"/>
          <w:szCs w:val="24"/>
        </w:rPr>
        <w:t>/</w:t>
      </w:r>
      <w:r>
        <w:rPr>
          <w:rFonts w:hint="eastAsia" w:ascii="宋体" w:hAnsi="宋体" w:eastAsia="宋体" w:cs="宋体"/>
          <w:kern w:val="0"/>
          <w:sz w:val="24"/>
          <w:szCs w:val="24"/>
        </w:rPr>
        <w:t>款等各种价款均为含税价。</w:t>
      </w:r>
    </w:p>
    <w:p w14:paraId="3B932ABD">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在甲方支付各项费用时，乙方应向甲方提供同等金额（合同另有约定的除外）的增值税专用发票，发票开具方与收款方应与本合同签订方一致，不能要求将款项支付给与发票开具方不一致的第三方。经甲方审核确认无误且审批完成后支付，否则甲方有权拒付，且不承担逾期付款责任。</w:t>
      </w:r>
    </w:p>
    <w:p w14:paraId="4A71CDEA">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（3）乙方提供的发票必须是真实的，如果乙方提供的发票是假的或虚开的，被相关政府部门查出，一切责任由乙方承担。</w:t>
      </w:r>
    </w:p>
    <w:p w14:paraId="311C3852">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（4）如果乙方开具的发票为汇总的专用发票，乙方还必须提供防伪税控系统开具的《销售货物或者提供应税劳务清单》，并加盖财务专用章或者发票专用章。</w:t>
      </w:r>
    </w:p>
    <w:p w14:paraId="0903CF51">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（5）如果甲方丢失增值税专用发票，发票联或抵扣联，则乙方必须向甲方提供专用发票提供发票复印件。</w:t>
      </w:r>
    </w:p>
    <w:p w14:paraId="73FE2DA9">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本合同项下，乙方指定收款账户为：</w:t>
      </w:r>
    </w:p>
    <w:p w14:paraId="130BE961">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账户名称：</w:t>
      </w:r>
    </w:p>
    <w:p w14:paraId="46D3AC61">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账户号码：</w:t>
      </w:r>
    </w:p>
    <w:p w14:paraId="6195AE59">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4C5DD3C7">
      <w:pPr>
        <w:widowControl/>
        <w:spacing w:line="360" w:lineRule="auto"/>
        <w:ind w:firstLine="470" w:firstLineChars="196"/>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甲方将相应款项按上述账户付款后即视为完成付款义务。因收款方、账号等付款引发争议的，均与甲方无关，甲方无需再承担任何责任。</w:t>
      </w:r>
    </w:p>
    <w:p w14:paraId="046C36CA">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六、甲方权利与义务</w:t>
      </w:r>
    </w:p>
    <w:p w14:paraId="46E90DAF">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w:t>
      </w:r>
      <w:r>
        <w:rPr>
          <w:rFonts w:hint="eastAsia" w:ascii="宋体" w:hAnsi="宋体" w:eastAsia="宋体" w:cs="宋体"/>
          <w:kern w:val="0"/>
          <w:sz w:val="24"/>
          <w:szCs w:val="24"/>
        </w:rPr>
        <w:t>甲方在开工前</w:t>
      </w:r>
      <w:r>
        <w:rPr>
          <w:rFonts w:hint="eastAsia" w:ascii="宋体" w:hAnsi="宋体" w:eastAsia="宋体" w:cs="宋体"/>
          <w:kern w:val="0"/>
          <w:sz w:val="24"/>
          <w:szCs w:val="24"/>
          <w:u w:val="single"/>
        </w:rPr>
        <w:t>3</w:t>
      </w:r>
      <w:r>
        <w:rPr>
          <w:rFonts w:hint="eastAsia" w:ascii="宋体" w:hAnsi="宋体" w:eastAsia="宋体" w:cs="宋体"/>
          <w:kern w:val="0"/>
          <w:sz w:val="24"/>
          <w:szCs w:val="24"/>
        </w:rPr>
        <w:t>天内向乙方进行现场交底，并说明注意事项，并协助乙方办理</w:t>
      </w:r>
      <w:r>
        <w:rPr>
          <w:rFonts w:hint="eastAsia" w:ascii="宋体" w:hAnsi="宋体" w:eastAsia="宋体" w:cs="宋体"/>
          <w:kern w:val="0"/>
          <w:sz w:val="24"/>
          <w:szCs w:val="24"/>
          <w:lang w:eastAsia="zh-Hans"/>
        </w:rPr>
        <w:t>各类相关</w:t>
      </w:r>
      <w:r>
        <w:rPr>
          <w:rFonts w:hint="eastAsia" w:ascii="宋体" w:hAnsi="宋体" w:eastAsia="宋体" w:cs="宋体"/>
          <w:kern w:val="0"/>
          <w:sz w:val="24"/>
          <w:szCs w:val="24"/>
        </w:rPr>
        <w:t>申请、批件等手续（为免疑义，如本项目需向相关政府部门办理申请、批件等手续的，乙方应负责办理，甲方同意予以协助）。</w:t>
      </w:r>
    </w:p>
    <w:p w14:paraId="63FCCE57">
      <w:pPr>
        <w:widowControl/>
        <w:spacing w:line="360" w:lineRule="auto"/>
        <w:ind w:firstLine="480" w:firstLineChars="200"/>
        <w:textAlignment w:val="baseline"/>
        <w:rPr>
          <w:rFonts w:hint="eastAsia" w:ascii="宋体" w:hAnsi="宋体" w:eastAsia="宋体" w:cs="宋体"/>
          <w:kern w:val="0"/>
          <w:sz w:val="24"/>
          <w:szCs w:val="24"/>
          <w:highlight w:val="yellow"/>
        </w:rPr>
      </w:pPr>
      <w:r>
        <w:rPr>
          <w:rFonts w:hint="eastAsia" w:ascii="宋体" w:hAnsi="宋体" w:eastAsia="宋体" w:cs="宋体"/>
          <w:kern w:val="0"/>
          <w:sz w:val="24"/>
          <w:szCs w:val="24"/>
        </w:rPr>
        <w:t>2</w:t>
      </w:r>
      <w:r>
        <w:rPr>
          <w:rFonts w:ascii="宋体" w:hAnsi="宋体" w:eastAsia="宋体" w:cs="宋体"/>
          <w:kern w:val="0"/>
          <w:sz w:val="24"/>
          <w:szCs w:val="24"/>
        </w:rPr>
        <w:t>.</w:t>
      </w:r>
      <w:r>
        <w:rPr>
          <w:rFonts w:hint="eastAsia" w:ascii="宋体" w:hAnsi="宋体" w:eastAsia="宋体" w:cs="宋体"/>
          <w:kern w:val="0"/>
          <w:sz w:val="24"/>
          <w:szCs w:val="24"/>
        </w:rPr>
        <w:t>甲方需指派专人为驻工地代表负责合同履行，甲方指派驻工地代表：        。对项目质量、进度进行监督检查、办理验收、变更、登记手续和其他事宜。除非甲方另外书面授权，否则该代表无对项目质量、进度进行监督检查、办理验收、变更、登记手续和其他事宜外其他的权利，包括但不限于：收款；变更合同中约定的服务费金额；签署其他的合同或法律文件等。</w:t>
      </w:r>
    </w:p>
    <w:p w14:paraId="350DCEAD">
      <w:pPr>
        <w:widowControl/>
        <w:spacing w:line="360" w:lineRule="auto"/>
        <w:ind w:firstLine="480" w:firstLineChars="20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ascii="宋体" w:hAnsi="宋体" w:eastAsia="宋体" w:cs="宋体"/>
          <w:kern w:val="0"/>
          <w:sz w:val="24"/>
          <w:szCs w:val="24"/>
        </w:rPr>
        <w:t>.</w:t>
      </w:r>
      <w:r>
        <w:rPr>
          <w:rFonts w:hint="eastAsia" w:ascii="宋体" w:hAnsi="宋体" w:eastAsia="宋体" w:cs="宋体"/>
          <w:kern w:val="0"/>
          <w:sz w:val="24"/>
          <w:szCs w:val="24"/>
        </w:rPr>
        <w:t>乙方在本合同签订后需与甲方沟通，甲方在正式开工前就乙方所提供的方案进行确认，乙方方能正式进场实施。</w:t>
      </w:r>
    </w:p>
    <w:p w14:paraId="4211A9D7">
      <w:pPr>
        <w:widowControl/>
        <w:spacing w:line="360" w:lineRule="auto"/>
        <w:ind w:firstLine="480" w:firstLineChars="200"/>
        <w:jc w:val="left"/>
        <w:textAlignment w:val="baseline"/>
        <w:rPr>
          <w:rFonts w:hint="eastAsia" w:ascii="宋体" w:hAnsi="宋体" w:eastAsia="宋体" w:cs="宋体"/>
          <w:kern w:val="0"/>
          <w:sz w:val="24"/>
          <w:szCs w:val="24"/>
          <w:highlight w:val="yellow"/>
        </w:rPr>
      </w:pPr>
      <w:r>
        <w:rPr>
          <w:rFonts w:hint="eastAsia" w:ascii="宋体" w:hAnsi="宋体" w:cs="宋体"/>
          <w:kern w:val="0"/>
          <w:sz w:val="24"/>
          <w:szCs w:val="24"/>
        </w:rPr>
        <w:t>4</w:t>
      </w:r>
      <w:r>
        <w:rPr>
          <w:rFonts w:ascii="宋体" w:hAnsi="宋体" w:cs="宋体"/>
          <w:kern w:val="0"/>
          <w:sz w:val="24"/>
          <w:szCs w:val="24"/>
          <w:lang w:eastAsia="zh-Hans"/>
        </w:rPr>
        <w:t>.</w:t>
      </w:r>
      <w:r>
        <w:rPr>
          <w:rFonts w:hint="eastAsia" w:ascii="宋体" w:hAnsi="宋体" w:eastAsia="宋体" w:cs="宋体"/>
          <w:kern w:val="0"/>
          <w:sz w:val="24"/>
          <w:szCs w:val="24"/>
        </w:rPr>
        <w:t>甲方有权对乙方承包部分的承包范围等进行调整，且乙方不得以任何方式索赔或追究。</w:t>
      </w:r>
    </w:p>
    <w:p w14:paraId="141535FB">
      <w:pPr>
        <w:widowControl/>
        <w:spacing w:line="360" w:lineRule="auto"/>
        <w:ind w:firstLine="480" w:firstLineChars="200"/>
        <w:jc w:val="left"/>
        <w:textAlignment w:val="baseline"/>
        <w:rPr>
          <w:rFonts w:hint="eastAsia"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进场前甲方需向乙方提供所需的临电接口，为乙方安装工作正常开展提供便利。</w:t>
      </w:r>
    </w:p>
    <w:p w14:paraId="0A5262A5">
      <w:pPr>
        <w:widowControl/>
        <w:spacing w:line="360" w:lineRule="auto"/>
        <w:ind w:firstLine="472" w:firstLineChars="196"/>
        <w:jc w:val="left"/>
        <w:textAlignment w:val="baseline"/>
        <w:outlineLvl w:val="0"/>
        <w:rPr>
          <w:rFonts w:hint="eastAsia" w:ascii="宋体" w:hAnsi="宋体" w:eastAsia="宋体" w:cs="宋体"/>
          <w:b/>
          <w:kern w:val="0"/>
          <w:sz w:val="24"/>
          <w:szCs w:val="24"/>
        </w:rPr>
      </w:pPr>
      <w:bookmarkStart w:id="2" w:name="_Toc494288850"/>
      <w:r>
        <w:rPr>
          <w:rFonts w:hint="eastAsia" w:ascii="宋体" w:hAnsi="宋体" w:eastAsia="宋体" w:cs="宋体"/>
          <w:b/>
          <w:kern w:val="0"/>
          <w:sz w:val="24"/>
          <w:szCs w:val="24"/>
        </w:rPr>
        <w:t>七、乙方权利与义务</w:t>
      </w:r>
      <w:bookmarkEnd w:id="2"/>
    </w:p>
    <w:p w14:paraId="101AE756">
      <w:pPr>
        <w:widowControl/>
        <w:spacing w:line="360" w:lineRule="auto"/>
        <w:ind w:firstLine="480" w:firstLineChars="200"/>
        <w:jc w:val="left"/>
        <w:textAlignment w:val="baseline"/>
        <w:rPr>
          <w:rFonts w:hint="eastAsia" w:ascii="宋体" w:hAnsi="宋体" w:eastAsia="宋体" w:cs="宋体"/>
          <w:kern w:val="0"/>
          <w:sz w:val="24"/>
          <w:szCs w:val="24"/>
        </w:rPr>
      </w:pPr>
      <w:bookmarkStart w:id="3" w:name="_Toc494288851"/>
      <w:r>
        <w:rPr>
          <w:rFonts w:hint="eastAsia" w:ascii="宋体" w:hAnsi="宋体" w:eastAsia="宋体" w:cs="宋体"/>
          <w:kern w:val="0"/>
          <w:sz w:val="24"/>
          <w:szCs w:val="24"/>
        </w:rPr>
        <w:t>1</w:t>
      </w:r>
      <w:r>
        <w:rPr>
          <w:rFonts w:hint="eastAsia" w:ascii="宋体" w:hAnsi="宋体" w:eastAsia="宋体" w:cs="宋体"/>
          <w:kern w:val="0"/>
          <w:sz w:val="24"/>
          <w:szCs w:val="24"/>
          <w:lang w:eastAsia="zh-Hans"/>
        </w:rPr>
        <w:t>.</w:t>
      </w:r>
      <w:r>
        <w:rPr>
          <w:rFonts w:hint="eastAsia" w:ascii="宋体" w:hAnsi="宋体" w:eastAsia="宋体" w:cs="宋体"/>
          <w:kern w:val="0"/>
          <w:sz w:val="24"/>
          <w:szCs w:val="24"/>
        </w:rPr>
        <w:t>参加甲方组织的图纸或做法说明的现场交底，拟定实施方案和进度计划，交甲方审定。</w:t>
      </w:r>
    </w:p>
    <w:p w14:paraId="759425FF">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eastAsia="zh-Hans"/>
        </w:rPr>
        <w:t>.乙方</w:t>
      </w:r>
      <w:r>
        <w:rPr>
          <w:rFonts w:hint="eastAsia" w:ascii="宋体" w:hAnsi="宋体" w:eastAsia="宋体" w:cs="宋体"/>
          <w:kern w:val="0"/>
          <w:sz w:val="24"/>
          <w:szCs w:val="24"/>
        </w:rPr>
        <w:t>实施前需按设计图纸工艺要求提供颜色及材料样板、楼体灯光字小样，经</w:t>
      </w:r>
      <w:r>
        <w:rPr>
          <w:rFonts w:hint="eastAsia" w:ascii="宋体" w:hAnsi="宋体" w:eastAsia="宋体" w:cs="宋体"/>
          <w:kern w:val="0"/>
          <w:sz w:val="24"/>
          <w:szCs w:val="24"/>
          <w:lang w:eastAsia="zh-Hans"/>
        </w:rPr>
        <w:t>甲方</w:t>
      </w:r>
      <w:r>
        <w:rPr>
          <w:rFonts w:hint="eastAsia" w:ascii="宋体" w:hAnsi="宋体" w:eastAsia="宋体" w:cs="宋体"/>
          <w:kern w:val="0"/>
          <w:sz w:val="24"/>
          <w:szCs w:val="24"/>
        </w:rPr>
        <w:t>确认后可批量制作及安装。</w:t>
      </w:r>
    </w:p>
    <w:p w14:paraId="54E16403">
      <w:pPr>
        <w:pStyle w:val="4"/>
        <w:spacing w:line="360" w:lineRule="auto"/>
        <w:ind w:firstLine="480"/>
        <w:rPr>
          <w:rFonts w:hint="eastAsia" w:ascii="宋体" w:hAnsi="宋体" w:cs="宋体"/>
          <w:lang w:eastAsia="zh-Hans"/>
        </w:rPr>
      </w:pPr>
      <w:r>
        <w:rPr>
          <w:rFonts w:ascii="宋体" w:hAnsi="宋体" w:cs="宋体"/>
          <w:kern w:val="0"/>
        </w:rPr>
        <w:t>3</w:t>
      </w:r>
      <w:r>
        <w:rPr>
          <w:rFonts w:ascii="宋体" w:hAnsi="宋体" w:cs="宋体"/>
          <w:kern w:val="0"/>
          <w:lang w:eastAsia="zh-Hans"/>
        </w:rPr>
        <w:t>.</w:t>
      </w:r>
      <w:r>
        <w:rPr>
          <w:rFonts w:hint="eastAsia" w:ascii="宋体" w:hAnsi="宋体" w:cs="宋体"/>
          <w:kern w:val="0"/>
          <w:lang w:eastAsia="zh-Hans"/>
        </w:rPr>
        <w:t>乙方</w:t>
      </w:r>
      <w:r>
        <w:rPr>
          <w:rFonts w:hint="eastAsia" w:ascii="宋体" w:hAnsi="宋体" w:cs="宋体"/>
          <w:kern w:val="0"/>
        </w:rPr>
        <w:t>实施</w:t>
      </w:r>
      <w:r>
        <w:rPr>
          <w:rFonts w:hint="eastAsia" w:ascii="宋体" w:hAnsi="宋体" w:cs="宋体"/>
          <w:kern w:val="0"/>
          <w:lang w:eastAsia="zh-Hans"/>
        </w:rPr>
        <w:t>前需与甲方沟通安全保障措施，接受甲方或甲方指定单位的安全培训，</w:t>
      </w:r>
      <w:r>
        <w:rPr>
          <w:rFonts w:hint="eastAsia" w:ascii="宋体" w:hAnsi="宋体" w:cs="宋体"/>
          <w:kern w:val="0"/>
        </w:rPr>
        <w:t>实施</w:t>
      </w:r>
      <w:r>
        <w:rPr>
          <w:rFonts w:hint="eastAsia" w:ascii="宋体" w:hAnsi="宋体" w:cs="宋体"/>
          <w:kern w:val="0"/>
          <w:lang w:eastAsia="zh-Hans"/>
        </w:rPr>
        <w:t>过程中需配合监理单位要求，未经甲方同意不可擅自进场</w:t>
      </w:r>
      <w:r>
        <w:rPr>
          <w:rFonts w:hint="eastAsia" w:ascii="宋体" w:hAnsi="宋体" w:cs="宋体"/>
          <w:kern w:val="0"/>
        </w:rPr>
        <w:t>实施</w:t>
      </w:r>
      <w:r>
        <w:rPr>
          <w:rFonts w:hint="eastAsia" w:ascii="宋体" w:hAnsi="宋体" w:cs="宋体"/>
          <w:lang w:eastAsia="zh-Hans"/>
        </w:rPr>
        <w:t>。</w:t>
      </w:r>
    </w:p>
    <w:p w14:paraId="224F2756">
      <w:pPr>
        <w:pStyle w:val="4"/>
        <w:spacing w:line="360" w:lineRule="auto"/>
        <w:ind w:firstLine="480"/>
        <w:rPr>
          <w:rFonts w:hint="eastAsia" w:ascii="宋体" w:hAnsi="宋体" w:cs="宋体"/>
          <w:lang w:eastAsia="zh-Hans"/>
        </w:rPr>
      </w:pPr>
      <w:r>
        <w:rPr>
          <w:rFonts w:ascii="宋体" w:hAnsi="宋体" w:cs="宋体"/>
          <w:lang w:eastAsia="zh-Hans"/>
        </w:rPr>
        <w:t>4.</w:t>
      </w:r>
      <w:r>
        <w:rPr>
          <w:rFonts w:hint="eastAsia" w:ascii="宋体" w:hAnsi="宋体" w:cs="宋体"/>
          <w:lang w:eastAsia="zh-Hans"/>
        </w:rPr>
        <w:t>乙方</w:t>
      </w:r>
      <w:r>
        <w:rPr>
          <w:rFonts w:ascii="宋体" w:hAnsi="宋体" w:cs="宋体"/>
          <w:lang w:eastAsia="zh-Hans"/>
        </w:rPr>
        <w:t>应遵守政府有关部门对交通、环境卫生、噪声、市政、安全、消防等方面的规定并承担相关的协调工作；</w:t>
      </w:r>
      <w:r>
        <w:rPr>
          <w:rFonts w:hint="eastAsia" w:ascii="宋体" w:hAnsi="宋体" w:cs="宋体"/>
        </w:rPr>
        <w:t>实施</w:t>
      </w:r>
      <w:r>
        <w:rPr>
          <w:rFonts w:ascii="宋体" w:hAnsi="宋体" w:cs="宋体"/>
          <w:lang w:eastAsia="zh-Hans"/>
        </w:rPr>
        <w:t>过程中如发生违规或造成第三方及公众利益受损害，</w:t>
      </w:r>
      <w:r>
        <w:rPr>
          <w:rFonts w:hint="eastAsia" w:ascii="宋体" w:hAnsi="宋体" w:cs="宋体"/>
          <w:lang w:eastAsia="zh-Hans"/>
        </w:rPr>
        <w:t>乙方</w:t>
      </w:r>
      <w:r>
        <w:rPr>
          <w:rFonts w:ascii="宋体" w:hAnsi="宋体" w:cs="宋体"/>
          <w:lang w:eastAsia="zh-Hans"/>
        </w:rPr>
        <w:t>应负全部法律责任包括但不限于</w:t>
      </w:r>
      <w:r>
        <w:rPr>
          <w:rFonts w:hint="eastAsia" w:ascii="宋体" w:hAnsi="宋体" w:cs="宋体"/>
          <w:lang w:eastAsia="zh-Hans"/>
        </w:rPr>
        <w:t>承担</w:t>
      </w:r>
      <w:r>
        <w:rPr>
          <w:rFonts w:ascii="宋体" w:hAnsi="宋体" w:cs="宋体"/>
          <w:lang w:eastAsia="zh-Hans"/>
        </w:rPr>
        <w:t>相应赔偿责任和承担罚款等；</w:t>
      </w:r>
      <w:r>
        <w:rPr>
          <w:rFonts w:hint="eastAsia" w:ascii="宋体" w:hAnsi="宋体" w:cs="宋体"/>
          <w:lang w:eastAsia="zh-Hans"/>
        </w:rPr>
        <w:t>乙方</w:t>
      </w:r>
      <w:r>
        <w:rPr>
          <w:rFonts w:ascii="宋体" w:hAnsi="宋体" w:cs="宋体"/>
          <w:lang w:eastAsia="zh-Hans"/>
        </w:rPr>
        <w:t>需做好</w:t>
      </w:r>
      <w:r>
        <w:rPr>
          <w:rFonts w:hint="eastAsia" w:ascii="宋体" w:hAnsi="宋体" w:cs="宋体"/>
        </w:rPr>
        <w:t>实施</w:t>
      </w:r>
      <w:r>
        <w:rPr>
          <w:rFonts w:ascii="宋体" w:hAnsi="宋体" w:cs="宋体"/>
          <w:lang w:eastAsia="zh-Hans"/>
        </w:rPr>
        <w:t>现场</w:t>
      </w:r>
      <w:r>
        <w:rPr>
          <w:rFonts w:hint="eastAsia" w:ascii="宋体" w:hAnsi="宋体" w:cs="宋体"/>
          <w:lang w:eastAsia="zh-Hans"/>
        </w:rPr>
        <w:t>管理</w:t>
      </w:r>
      <w:r>
        <w:rPr>
          <w:rFonts w:ascii="宋体" w:hAnsi="宋体" w:cs="宋体"/>
          <w:lang w:eastAsia="zh-Hans"/>
        </w:rPr>
        <w:t>工作，保持现场清洁、道路畅通，完工后及时清理现场，做到工完场清。</w:t>
      </w:r>
    </w:p>
    <w:p w14:paraId="440311B9">
      <w:pPr>
        <w:pStyle w:val="4"/>
        <w:spacing w:line="360" w:lineRule="auto"/>
        <w:ind w:firstLine="480"/>
        <w:rPr>
          <w:rFonts w:hint="eastAsia" w:ascii="宋体" w:hAnsi="宋体" w:cs="宋体"/>
          <w:lang w:eastAsia="zh-Hans"/>
        </w:rPr>
      </w:pPr>
      <w:r>
        <w:rPr>
          <w:rFonts w:ascii="宋体" w:hAnsi="宋体" w:cs="宋体"/>
          <w:lang w:eastAsia="zh-Hans"/>
        </w:rPr>
        <w:t>5</w:t>
      </w:r>
      <w:r>
        <w:rPr>
          <w:rFonts w:hint="eastAsia" w:ascii="宋体" w:hAnsi="宋体" w:cs="宋体"/>
          <w:lang w:eastAsia="zh-Hans"/>
        </w:rPr>
        <w:t>.乙方</w:t>
      </w:r>
      <w:r>
        <w:rPr>
          <w:rFonts w:ascii="宋体" w:hAnsi="宋体" w:cs="宋体"/>
          <w:lang w:eastAsia="zh-Hans"/>
        </w:rPr>
        <w:t>进场</w:t>
      </w:r>
      <w:r>
        <w:rPr>
          <w:rFonts w:hint="eastAsia" w:ascii="宋体" w:hAnsi="宋体" w:cs="宋体"/>
        </w:rPr>
        <w:t>实施</w:t>
      </w:r>
      <w:r>
        <w:rPr>
          <w:rFonts w:ascii="宋体" w:hAnsi="宋体" w:cs="宋体"/>
          <w:lang w:eastAsia="zh-Hans"/>
        </w:rPr>
        <w:t>前，应进行</w:t>
      </w:r>
      <w:r>
        <w:rPr>
          <w:rFonts w:hint="eastAsia" w:ascii="宋体" w:hAnsi="宋体" w:cs="宋体"/>
        </w:rPr>
        <w:t>实施</w:t>
      </w:r>
      <w:r>
        <w:rPr>
          <w:rFonts w:ascii="宋体" w:hAnsi="宋体" w:cs="宋体"/>
          <w:lang w:eastAsia="zh-Hans"/>
        </w:rPr>
        <w:t>范围内的环境查勘，明确现场环境及安全等因素</w:t>
      </w:r>
      <w:r>
        <w:rPr>
          <w:rFonts w:hint="eastAsia" w:ascii="宋体" w:hAnsi="宋体" w:cs="宋体"/>
          <w:lang w:eastAsia="zh-Hans"/>
        </w:rPr>
        <w:t>的</w:t>
      </w:r>
      <w:r>
        <w:rPr>
          <w:rFonts w:ascii="宋体" w:hAnsi="宋体" w:cs="宋体"/>
          <w:lang w:eastAsia="zh-Hans"/>
        </w:rPr>
        <w:t>影响，必须明确相应措施以保证</w:t>
      </w:r>
      <w:r>
        <w:rPr>
          <w:rFonts w:hint="eastAsia" w:ascii="宋体" w:hAnsi="宋体" w:cs="宋体"/>
          <w:lang w:eastAsia="zh-Hans"/>
        </w:rPr>
        <w:t>安装工作</w:t>
      </w:r>
      <w:r>
        <w:rPr>
          <w:rFonts w:ascii="宋体" w:hAnsi="宋体" w:cs="宋体"/>
          <w:lang w:eastAsia="zh-Hans"/>
        </w:rPr>
        <w:t>的正常开展，凡因此类原因导致费用增加，概由</w:t>
      </w:r>
      <w:r>
        <w:rPr>
          <w:rFonts w:hint="eastAsia" w:ascii="宋体" w:hAnsi="宋体" w:cs="宋体"/>
          <w:lang w:eastAsia="zh-Hans"/>
        </w:rPr>
        <w:t>乙方</w:t>
      </w:r>
      <w:r>
        <w:rPr>
          <w:rFonts w:ascii="宋体" w:hAnsi="宋体" w:cs="宋体"/>
          <w:lang w:eastAsia="zh-Hans"/>
        </w:rPr>
        <w:t>自行负责</w:t>
      </w:r>
      <w:r>
        <w:rPr>
          <w:rFonts w:hint="eastAsia" w:ascii="宋体" w:hAnsi="宋体" w:cs="宋体"/>
          <w:lang w:eastAsia="zh-Hans"/>
        </w:rPr>
        <w:t>，甲方不再另行支付</w:t>
      </w:r>
      <w:r>
        <w:rPr>
          <w:rFonts w:ascii="宋体" w:hAnsi="宋体" w:cs="宋体"/>
          <w:lang w:eastAsia="zh-Hans"/>
        </w:rPr>
        <w:t>。</w:t>
      </w:r>
    </w:p>
    <w:p w14:paraId="4CC34501">
      <w:pPr>
        <w:pStyle w:val="4"/>
        <w:spacing w:line="360" w:lineRule="auto"/>
        <w:ind w:firstLine="480"/>
        <w:rPr>
          <w:rFonts w:hint="eastAsia" w:ascii="宋体" w:hAnsi="宋体" w:cs="宋体"/>
          <w:lang w:eastAsia="zh-Hans"/>
        </w:rPr>
      </w:pPr>
      <w:r>
        <w:rPr>
          <w:rFonts w:ascii="宋体" w:hAnsi="宋体" w:cs="宋体"/>
          <w:lang w:eastAsia="zh-Hans"/>
        </w:rPr>
        <w:t>6</w:t>
      </w:r>
      <w:r>
        <w:rPr>
          <w:rFonts w:hint="eastAsia" w:ascii="宋体" w:hAnsi="宋体" w:cs="宋体"/>
          <w:lang w:eastAsia="zh-Hans"/>
        </w:rPr>
        <w:t>.乙方负责</w:t>
      </w:r>
      <w:r>
        <w:rPr>
          <w:rFonts w:hint="eastAsia" w:ascii="宋体" w:hAnsi="宋体" w:cs="宋体"/>
        </w:rPr>
        <w:t>实施</w:t>
      </w:r>
      <w:r>
        <w:rPr>
          <w:rFonts w:hint="eastAsia" w:ascii="宋体" w:hAnsi="宋体" w:cs="宋体"/>
          <w:lang w:eastAsia="zh-Hans"/>
        </w:rPr>
        <w:t>现场的安全（含人身）保卫和</w:t>
      </w:r>
      <w:r>
        <w:rPr>
          <w:rFonts w:hint="eastAsia" w:ascii="宋体" w:hAnsi="宋体" w:cs="宋体"/>
        </w:rPr>
        <w:t>实施</w:t>
      </w:r>
      <w:r>
        <w:rPr>
          <w:rFonts w:hint="eastAsia" w:ascii="宋体" w:hAnsi="宋体" w:cs="宋体"/>
          <w:lang w:eastAsia="zh-Hans"/>
        </w:rPr>
        <w:t>人员的管理工作，并对由于</w:t>
      </w:r>
      <w:r>
        <w:rPr>
          <w:rFonts w:hint="eastAsia" w:ascii="宋体" w:hAnsi="宋体" w:cs="宋体"/>
        </w:rPr>
        <w:t>实施</w:t>
      </w:r>
      <w:r>
        <w:rPr>
          <w:rFonts w:hint="eastAsia" w:ascii="宋体" w:hAnsi="宋体" w:cs="宋体"/>
          <w:lang w:eastAsia="zh-Hans"/>
        </w:rPr>
        <w:t>造成的工程、财产损失和人身伤害负责，</w:t>
      </w:r>
      <w:r>
        <w:rPr>
          <w:rFonts w:hint="eastAsia" w:ascii="宋体" w:hAnsi="宋体" w:cs="宋体"/>
          <w:kern w:val="0"/>
        </w:rPr>
        <w:t>乙方负担涉及这类事故有关的诉讼、损害赔偿、诉讼费、赔偿费及其它费用等直接或间接造成的所有费用。</w:t>
      </w:r>
    </w:p>
    <w:p w14:paraId="1B233382">
      <w:pPr>
        <w:pStyle w:val="4"/>
        <w:spacing w:line="360" w:lineRule="auto"/>
        <w:ind w:firstLine="480"/>
        <w:rPr>
          <w:rFonts w:hint="eastAsia" w:ascii="宋体" w:hAnsi="宋体" w:cs="宋体"/>
          <w:lang w:eastAsia="zh-Hans"/>
        </w:rPr>
      </w:pPr>
      <w:r>
        <w:rPr>
          <w:rFonts w:ascii="宋体" w:hAnsi="宋体" w:cs="宋体"/>
          <w:lang w:eastAsia="zh-Hans"/>
        </w:rPr>
        <w:t>7.乙方应本着诚实信用、审慎负责原则，就整体</w:t>
      </w:r>
      <w:r>
        <w:rPr>
          <w:rFonts w:hint="eastAsia" w:ascii="宋体" w:hAnsi="宋体" w:cs="宋体"/>
          <w:lang w:eastAsia="zh-Hans"/>
        </w:rPr>
        <w:t>制作和</w:t>
      </w:r>
      <w:r>
        <w:rPr>
          <w:rFonts w:hint="eastAsia" w:ascii="宋体" w:hAnsi="宋体" w:cs="宋体"/>
        </w:rPr>
        <w:t>安装</w:t>
      </w:r>
      <w:r>
        <w:rPr>
          <w:rFonts w:ascii="宋体" w:hAnsi="宋体" w:cs="宋体"/>
          <w:lang w:eastAsia="zh-Hans"/>
        </w:rPr>
        <w:t>质量负责，质量标准应当符合国家法律、法规、行业相关规范，并通过甲方验收，因乙方自身原因导致工作成果质量不合格且造成逾期的，应承担本合同约定的逾期违约责任。若甲方提出整改意见后，乙方不配合及时进行整改或者整改后明显不符合合同约定的，甲方有权另请第三人完成相关工作，所发生的费用从</w:t>
      </w:r>
      <w:r>
        <w:rPr>
          <w:rFonts w:hint="eastAsia" w:ascii="宋体" w:hAnsi="宋体" w:cs="宋体"/>
          <w:lang w:eastAsia="zh-Hans"/>
        </w:rPr>
        <w:t>应付</w:t>
      </w:r>
      <w:r>
        <w:rPr>
          <w:rFonts w:ascii="宋体" w:hAnsi="宋体" w:cs="宋体"/>
          <w:lang w:eastAsia="zh-Hans"/>
        </w:rPr>
        <w:t>乙方</w:t>
      </w:r>
      <w:r>
        <w:rPr>
          <w:rFonts w:hint="eastAsia" w:ascii="宋体" w:hAnsi="宋体" w:cs="宋体"/>
          <w:lang w:eastAsia="zh-Hans"/>
        </w:rPr>
        <w:t>的</w:t>
      </w:r>
      <w:r>
        <w:rPr>
          <w:rFonts w:ascii="宋体" w:hAnsi="宋体" w:cs="宋体"/>
          <w:lang w:eastAsia="zh-Hans"/>
        </w:rPr>
        <w:t>任何款项中扣除或者向乙方追索。</w:t>
      </w:r>
    </w:p>
    <w:p w14:paraId="62A84002">
      <w:pPr>
        <w:widowControl/>
        <w:spacing w:line="360" w:lineRule="auto"/>
        <w:ind w:firstLine="480" w:firstLineChars="200"/>
        <w:jc w:val="left"/>
        <w:textAlignment w:val="baseline"/>
        <w:rPr>
          <w:rFonts w:hint="eastAsia"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如有因乙方的原因所产生的工程量增加、变更等情况，由乙方承担费用。</w:t>
      </w:r>
    </w:p>
    <w:p w14:paraId="54E7CB5C">
      <w:pPr>
        <w:widowControl/>
        <w:spacing w:line="360" w:lineRule="auto"/>
        <w:ind w:firstLine="480" w:firstLineChars="200"/>
        <w:jc w:val="left"/>
        <w:textAlignment w:val="baseline"/>
        <w:rPr>
          <w:rFonts w:hint="eastAsia" w:ascii="宋体" w:hAnsi="宋体" w:eastAsia="宋体" w:cs="宋体"/>
          <w:kern w:val="0"/>
          <w:sz w:val="24"/>
          <w:szCs w:val="24"/>
        </w:rPr>
      </w:pPr>
      <w:r>
        <w:rPr>
          <w:rFonts w:ascii="宋体" w:hAnsi="宋体" w:eastAsia="宋体" w:cs="宋体"/>
          <w:kern w:val="0"/>
          <w:sz w:val="24"/>
          <w:szCs w:val="24"/>
        </w:rPr>
        <w:t>9.</w:t>
      </w:r>
      <w:r>
        <w:rPr>
          <w:rFonts w:hint="eastAsia" w:ascii="宋体" w:hAnsi="宋体" w:eastAsia="宋体" w:cs="宋体"/>
          <w:kern w:val="0"/>
          <w:sz w:val="24"/>
          <w:szCs w:val="24"/>
        </w:rPr>
        <w:t>乙方应为所派员工及安装人员购买相应保险，保险费已含在合同总价中，不再另行支付。</w:t>
      </w:r>
    </w:p>
    <w:p w14:paraId="4E09813E">
      <w:pPr>
        <w:widowControl/>
        <w:spacing w:line="360" w:lineRule="auto"/>
        <w:ind w:firstLine="480" w:firstLineChars="200"/>
        <w:jc w:val="left"/>
        <w:textAlignment w:val="baseline"/>
        <w:rPr>
          <w:rFonts w:hint="default" w:eastAsia="宋体"/>
          <w:lang w:val="en-US" w:eastAsia="zh-CN"/>
        </w:rPr>
      </w:pPr>
      <w:r>
        <w:rPr>
          <w:rFonts w:hint="eastAsia" w:ascii="宋体" w:hAnsi="宋体" w:eastAsia="宋体" w:cs="宋体"/>
          <w:kern w:val="0"/>
          <w:sz w:val="24"/>
          <w:szCs w:val="24"/>
          <w:lang w:val="en-US" w:eastAsia="zh-CN"/>
        </w:rPr>
        <w:t>10</w:t>
      </w:r>
      <w:r>
        <w:rPr>
          <w:rFonts w:ascii="宋体" w:hAnsi="宋体" w:eastAsia="宋体" w:cs="宋体"/>
          <w:kern w:val="0"/>
          <w:sz w:val="24"/>
          <w:szCs w:val="24"/>
        </w:rPr>
        <w:t>.</w:t>
      </w:r>
      <w:r>
        <w:rPr>
          <w:rFonts w:hint="eastAsia" w:ascii="宋体" w:hAnsi="宋体" w:eastAsia="宋体" w:cs="宋体"/>
          <w:kern w:val="0"/>
          <w:sz w:val="24"/>
          <w:szCs w:val="24"/>
        </w:rPr>
        <w:t>乙方所派员工及安装人员</w:t>
      </w:r>
      <w:r>
        <w:rPr>
          <w:rFonts w:hint="eastAsia" w:ascii="宋体" w:hAnsi="宋体" w:eastAsia="宋体" w:cs="宋体"/>
          <w:kern w:val="0"/>
          <w:sz w:val="24"/>
          <w:szCs w:val="24"/>
          <w:lang w:val="en-US" w:eastAsia="zh-CN"/>
        </w:rPr>
        <w:t>在进入实施现场时应正确佩戴安全帽和安全绳</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如发现未按要求正确佩戴安全帽和安全绳，每发现一次，</w:t>
      </w:r>
      <w:r>
        <w:rPr>
          <w:rFonts w:hint="eastAsia" w:ascii="宋体" w:hAnsi="宋体" w:eastAsia="宋体" w:cs="宋体"/>
          <w:kern w:val="0"/>
          <w:sz w:val="24"/>
          <w:szCs w:val="24"/>
        </w:rPr>
        <w:t>甲方</w:t>
      </w:r>
      <w:r>
        <w:rPr>
          <w:rFonts w:hint="eastAsia" w:ascii="宋体" w:hAnsi="宋体" w:eastAsia="宋体" w:cs="宋体"/>
          <w:kern w:val="0"/>
          <w:sz w:val="24"/>
          <w:szCs w:val="24"/>
          <w:lang w:val="en-US" w:eastAsia="zh-CN"/>
        </w:rPr>
        <w:t>有权</w:t>
      </w:r>
      <w:r>
        <w:rPr>
          <w:rFonts w:hint="eastAsia" w:ascii="宋体" w:hAnsi="宋体" w:eastAsia="宋体" w:cs="宋体"/>
          <w:kern w:val="0"/>
          <w:sz w:val="24"/>
          <w:szCs w:val="24"/>
        </w:rPr>
        <w:t>从应付</w:t>
      </w:r>
      <w:r>
        <w:rPr>
          <w:rFonts w:hint="eastAsia" w:ascii="宋体" w:hAnsi="宋体" w:eastAsia="宋体" w:cs="宋体"/>
          <w:kern w:val="0"/>
          <w:sz w:val="24"/>
          <w:szCs w:val="24"/>
          <w:lang w:val="en-US" w:eastAsia="zh-CN"/>
        </w:rPr>
        <w:t>乙方</w:t>
      </w:r>
      <w:r>
        <w:rPr>
          <w:rFonts w:hint="eastAsia" w:ascii="宋体" w:hAnsi="宋体" w:eastAsia="宋体" w:cs="宋体"/>
          <w:kern w:val="0"/>
          <w:sz w:val="24"/>
          <w:szCs w:val="24"/>
        </w:rPr>
        <w:t>费用中扣除</w:t>
      </w:r>
      <w:r>
        <w:rPr>
          <w:rFonts w:hint="eastAsia" w:ascii="宋体" w:hAnsi="宋体" w:eastAsia="宋体" w:cs="宋体"/>
          <w:kern w:val="0"/>
          <w:sz w:val="24"/>
          <w:szCs w:val="24"/>
          <w:lang w:val="en-US" w:eastAsia="zh-CN"/>
        </w:rPr>
        <w:t>20000元/次</w:t>
      </w:r>
      <w:r>
        <w:rPr>
          <w:rFonts w:hint="eastAsia" w:ascii="宋体" w:hAnsi="宋体" w:eastAsia="宋体" w:cs="宋体"/>
          <w:kern w:val="0"/>
          <w:sz w:val="24"/>
          <w:szCs w:val="24"/>
        </w:rPr>
        <w:t>。</w:t>
      </w:r>
    </w:p>
    <w:p w14:paraId="50DDFC03">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.在竣工验收完成后，若因工程施工、临时管制</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台风暴雨极端天气</w:t>
      </w:r>
      <w:r>
        <w:rPr>
          <w:rFonts w:hint="eastAsia" w:ascii="宋体" w:hAnsi="宋体" w:eastAsia="宋体" w:cs="宋体"/>
          <w:kern w:val="0"/>
          <w:sz w:val="24"/>
          <w:szCs w:val="24"/>
        </w:rPr>
        <w:t>等因素，甲方提出需求，乙方提供</w:t>
      </w:r>
      <w:r>
        <w:rPr>
          <w:rFonts w:hint="eastAsia" w:ascii="宋体" w:hAnsi="宋体" w:eastAsia="宋体" w:cs="宋体"/>
          <w:kern w:val="0"/>
          <w:sz w:val="24"/>
          <w:szCs w:val="24"/>
          <w:lang w:val="en-US" w:eastAsia="zh-CN"/>
        </w:rPr>
        <w:t>免费</w:t>
      </w:r>
      <w:r>
        <w:rPr>
          <w:rFonts w:hint="eastAsia" w:ascii="宋体" w:hAnsi="宋体" w:eastAsia="宋体" w:cs="宋体"/>
          <w:kern w:val="0"/>
          <w:sz w:val="24"/>
          <w:szCs w:val="24"/>
        </w:rPr>
        <w:t>2次全部楼体灯光字的拆除、搬运及重新安装服务，</w:t>
      </w:r>
      <w:r>
        <w:rPr>
          <w:rFonts w:hint="eastAsia" w:ascii="宋体" w:hAnsi="宋体" w:eastAsia="宋体" w:cs="宋体"/>
          <w:kern w:val="0"/>
          <w:sz w:val="24"/>
          <w:szCs w:val="24"/>
          <w:lang w:val="en-US" w:eastAsia="zh-CN"/>
        </w:rPr>
        <w:t>以及按甲方要求最终拆除全部楼体灯光字。</w:t>
      </w:r>
    </w:p>
    <w:p w14:paraId="1B190E0B">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.自本项目验收合格之日起一年，乙方需对完工后的本项目服务范围内所有</w:t>
      </w:r>
      <w:r>
        <w:rPr>
          <w:rFonts w:hint="eastAsia" w:ascii="宋体" w:hAnsi="宋体" w:eastAsia="宋体" w:cs="宋体"/>
          <w:kern w:val="0"/>
          <w:sz w:val="24"/>
          <w:szCs w:val="24"/>
          <w:lang w:eastAsia="zh-Hans"/>
        </w:rPr>
        <w:t>内容</w:t>
      </w:r>
      <w:r>
        <w:rPr>
          <w:rFonts w:hint="eastAsia" w:ascii="宋体" w:hAnsi="宋体" w:eastAsia="宋体" w:cs="宋体"/>
          <w:kern w:val="0"/>
          <w:sz w:val="24"/>
          <w:szCs w:val="24"/>
        </w:rPr>
        <w:t>履行保修义务。在质保期内，乙方应保证保修的及时性，在收到甲方或甲方指定单位发出的维修通知后24小时内派人维修。</w:t>
      </w:r>
    </w:p>
    <w:p w14:paraId="7F5CAA6E">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八、关于工期的约定</w:t>
      </w:r>
      <w:bookmarkEnd w:id="3"/>
    </w:p>
    <w:p w14:paraId="775318FD">
      <w:pPr>
        <w:widowControl/>
        <w:spacing w:line="360" w:lineRule="auto"/>
        <w:ind w:firstLine="480" w:firstLineChars="200"/>
        <w:jc w:val="left"/>
        <w:textAlignment w:val="baseline"/>
        <w:rPr>
          <w:rFonts w:hint="eastAsia" w:ascii="宋体" w:hAnsi="宋体" w:eastAsia="宋体" w:cs="宋体"/>
          <w:kern w:val="0"/>
          <w:sz w:val="24"/>
          <w:szCs w:val="24"/>
        </w:rPr>
      </w:pPr>
      <w:bookmarkStart w:id="4" w:name="_Toc494288852"/>
      <w:r>
        <w:rPr>
          <w:rFonts w:hint="eastAsia" w:ascii="宋体" w:hAnsi="宋体" w:eastAsia="宋体" w:cs="宋体"/>
          <w:kern w:val="0"/>
          <w:sz w:val="24"/>
          <w:szCs w:val="24"/>
        </w:rPr>
        <w:t>1</w:t>
      </w:r>
      <w:r>
        <w:rPr>
          <w:rFonts w:ascii="宋体" w:hAnsi="宋体" w:eastAsia="宋体" w:cs="宋体"/>
          <w:kern w:val="0"/>
          <w:sz w:val="24"/>
          <w:szCs w:val="24"/>
        </w:rPr>
        <w:t>.</w:t>
      </w:r>
      <w:r>
        <w:rPr>
          <w:rFonts w:hint="eastAsia" w:ascii="宋体" w:hAnsi="宋体" w:eastAsia="宋体" w:cs="宋体"/>
          <w:kern w:val="0"/>
          <w:sz w:val="24"/>
          <w:szCs w:val="24"/>
        </w:rPr>
        <w:t>因甲方原因不具备开工条件而影响工期的，工期相应顺延；</w:t>
      </w:r>
    </w:p>
    <w:p w14:paraId="7A082D82">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w:t>
      </w:r>
      <w:r>
        <w:rPr>
          <w:rFonts w:hint="eastAsia" w:ascii="宋体" w:hAnsi="宋体" w:eastAsia="宋体" w:cs="宋体"/>
          <w:kern w:val="0"/>
          <w:sz w:val="24"/>
          <w:szCs w:val="24"/>
        </w:rPr>
        <w:t>由于甲方提出增加本合同约定工作范围以外的项目，造成工期的延误，工期相应顺延；</w:t>
      </w:r>
    </w:p>
    <w:p w14:paraId="17869A60">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ascii="宋体" w:hAnsi="宋体" w:eastAsia="宋体" w:cs="宋体"/>
          <w:kern w:val="0"/>
          <w:sz w:val="24"/>
          <w:szCs w:val="24"/>
        </w:rPr>
        <w:t>.</w:t>
      </w:r>
      <w:r>
        <w:rPr>
          <w:rFonts w:hint="eastAsia" w:ascii="宋体" w:hAnsi="宋体" w:eastAsia="宋体" w:cs="宋体"/>
          <w:kern w:val="0"/>
          <w:sz w:val="24"/>
          <w:szCs w:val="24"/>
        </w:rPr>
        <w:t>由于乙方原因造成质量原因返工，工期不顺延；</w:t>
      </w:r>
    </w:p>
    <w:p w14:paraId="6824CC7F">
      <w:pPr>
        <w:widowControl/>
        <w:spacing w:line="360" w:lineRule="auto"/>
        <w:ind w:firstLine="480" w:firstLineChars="200"/>
        <w:jc w:val="left"/>
        <w:textAlignment w:val="baseline"/>
        <w:rPr>
          <w:rFonts w:hint="eastAsia"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非乙方原因造成的停电、停水及不可抗力等因素影响，导致停工连续8小时以上的，工期相应顺延。</w:t>
      </w:r>
    </w:p>
    <w:p w14:paraId="3E361EEA">
      <w:pPr>
        <w:widowControl/>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发生上述工期需顺延的情况时，乙方应向甲方提出书面顺延申请，说明工期延误的原因、需要顺延的工期长短并提出相应的证明，经甲方审核确认后，工期予以顺延，否则工期不得顺延。</w:t>
      </w:r>
    </w:p>
    <w:p w14:paraId="54504F60">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九、竣工验收的约定</w:t>
      </w:r>
      <w:bookmarkEnd w:id="4"/>
    </w:p>
    <w:p w14:paraId="65236BE4">
      <w:pPr>
        <w:widowControl/>
        <w:spacing w:line="360" w:lineRule="auto"/>
        <w:ind w:firstLine="470" w:firstLineChars="196"/>
        <w:jc w:val="left"/>
        <w:textAlignment w:val="baseline"/>
        <w:outlineLvl w:val="0"/>
        <w:rPr>
          <w:rFonts w:hint="eastAsia" w:ascii="宋体" w:hAnsi="宋体" w:eastAsia="宋体" w:cs="宋体"/>
          <w:kern w:val="0"/>
          <w:sz w:val="24"/>
          <w:szCs w:val="24"/>
        </w:rPr>
      </w:pPr>
      <w:bookmarkStart w:id="5" w:name="_Toc494288853"/>
      <w:r>
        <w:rPr>
          <w:rFonts w:hint="eastAsia" w:ascii="宋体" w:hAnsi="宋体" w:eastAsia="宋体" w:cs="宋体"/>
          <w:kern w:val="0"/>
          <w:sz w:val="24"/>
          <w:szCs w:val="24"/>
        </w:rPr>
        <w:t>甲方应在乙方完成工作成果后，2个工作日内进行验收；甲方应在验收完成之后5个工作日内向乙方提供《项目验收单》，明确验收结果。如验收不合格，须在《项目验收单》中明确不合格原因及修改意见，注明与乙方协商确定的新的验收时间，且甲乙双方代表签字确认。</w:t>
      </w:r>
    </w:p>
    <w:p w14:paraId="5C1FB0D8">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十、合同价款及变更价款的确认约定</w:t>
      </w:r>
      <w:bookmarkEnd w:id="5"/>
    </w:p>
    <w:p w14:paraId="4DE5BAB5">
      <w:pPr>
        <w:pStyle w:val="4"/>
        <w:spacing w:line="360" w:lineRule="auto"/>
        <w:ind w:firstLine="482"/>
        <w:rPr>
          <w:b/>
          <w:bCs/>
        </w:rPr>
      </w:pPr>
      <w:r>
        <w:rPr>
          <w:rFonts w:hint="eastAsia"/>
          <w:b/>
          <w:bCs/>
        </w:rPr>
        <w:t>本合同部分项目存在延期或取消风险，乙方需综合考虑由此带来的人员及工作安排等综合成本，不得以此为理由提出异议或索赔。如项目取消，对应费用在结算时扣减。</w:t>
      </w:r>
    </w:p>
    <w:p w14:paraId="6E9ADC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w:t>
      </w:r>
      <w:r>
        <w:rPr>
          <w:rFonts w:hint="eastAsia" w:ascii="宋体" w:hAnsi="宋体" w:eastAsia="宋体" w:cs="宋体"/>
          <w:kern w:val="0"/>
          <w:sz w:val="24"/>
          <w:szCs w:val="24"/>
        </w:rPr>
        <w:t>由于经甲方确定的</w:t>
      </w:r>
      <w:r>
        <w:rPr>
          <w:rFonts w:hint="eastAsia" w:ascii="宋体" w:hAnsi="宋体" w:eastAsia="宋体" w:cs="宋体"/>
          <w:kern w:val="0"/>
          <w:sz w:val="24"/>
          <w:szCs w:val="24"/>
          <w:lang w:eastAsia="zh-Hans"/>
        </w:rPr>
        <w:t>实施</w:t>
      </w:r>
      <w:r>
        <w:rPr>
          <w:rFonts w:hint="eastAsia" w:ascii="宋体" w:hAnsi="宋体" w:eastAsia="宋体" w:cs="宋体"/>
          <w:kern w:val="0"/>
          <w:sz w:val="24"/>
          <w:szCs w:val="24"/>
        </w:rPr>
        <w:t>方案调整引起增加或减少等变更部分，经甲方确认后按变更进行结算。</w:t>
      </w:r>
    </w:p>
    <w:p w14:paraId="76D75E9A">
      <w:pPr>
        <w:widowControl/>
        <w:spacing w:line="360" w:lineRule="auto"/>
        <w:ind w:firstLine="480" w:firstLineChars="200"/>
        <w:jc w:val="left"/>
        <w:rPr>
          <w:rFonts w:hint="eastAsia"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甲方要求提出增加、变更的，乙方根据甲方提出的要求进行</w:t>
      </w:r>
      <w:r>
        <w:rPr>
          <w:rFonts w:hint="eastAsia" w:ascii="宋体" w:hAnsi="宋体" w:eastAsia="宋体" w:cs="宋体"/>
          <w:kern w:val="0"/>
          <w:sz w:val="24"/>
          <w:szCs w:val="24"/>
          <w:lang w:eastAsia="zh-Hans"/>
        </w:rPr>
        <w:t>方案调整</w:t>
      </w:r>
      <w:r>
        <w:rPr>
          <w:rFonts w:hint="eastAsia" w:ascii="宋体" w:hAnsi="宋体" w:eastAsia="宋体" w:cs="宋体"/>
          <w:kern w:val="0"/>
          <w:sz w:val="24"/>
          <w:szCs w:val="24"/>
        </w:rPr>
        <w:t>。增加、变更的方案通过甲方审定后，乙方根据设计方案出具变更造价清单，须经甲方确认。</w:t>
      </w:r>
    </w:p>
    <w:p w14:paraId="54E12901">
      <w:pPr>
        <w:widowControl/>
        <w:spacing w:line="360" w:lineRule="auto"/>
        <w:ind w:firstLine="480" w:firstLineChars="200"/>
        <w:jc w:val="left"/>
        <w:outlineLvl w:val="1"/>
        <w:rPr>
          <w:rFonts w:hint="eastAsia"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变更价款按下列方法进行确定：</w:t>
      </w:r>
    </w:p>
    <w:p w14:paraId="54A82497">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（1）合同中有适用于变更的价格，按合同已有的价格确定变更合同价款；</w:t>
      </w:r>
    </w:p>
    <w:p w14:paraId="31CE6A4E">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（2）合同中有类似于变更的价格，可以参照类似价格确定变更合同价款；</w:t>
      </w:r>
    </w:p>
    <w:p w14:paraId="4A3DD316">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（3）合同中没有适用或类似于的价格，由甲方、乙方双方共同市场询价为基础最终协商确定，协商未达成一致的，甲方有权自行采购提供。</w:t>
      </w:r>
    </w:p>
    <w:p w14:paraId="364FF315">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变更属费用增加的，变更增加价款在结算中一次支付；变更属费用减少的，变更减少价款在结算中一次扣减。</w:t>
      </w:r>
    </w:p>
    <w:p w14:paraId="605180C0">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不合理单价的定义及调整：</w:t>
      </w:r>
    </w:p>
    <w:p w14:paraId="73B4BED5">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不合理的单价，是指组成合同价的子项单价超过甲方经市场调查后认可的价格的20%，甲方保留（直至结算完成）对该子项单价调整的权利。</w:t>
      </w:r>
    </w:p>
    <w:p w14:paraId="50EB7A4E">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对于不合理单价的项目，由甲方、乙方、造价咨询单位三方共同市场询价确定，综合单价按修正后的综合单价执行。</w:t>
      </w:r>
    </w:p>
    <w:p w14:paraId="6B3B9F19">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十一、结算的约定</w:t>
      </w:r>
    </w:p>
    <w:p w14:paraId="2A7A0B90">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竣工</w:t>
      </w:r>
      <w:r>
        <w:rPr>
          <w:rFonts w:hint="eastAsia" w:ascii="宋体" w:hAnsi="宋体" w:eastAsia="宋体" w:cs="宋体"/>
          <w:kern w:val="0"/>
          <w:sz w:val="24"/>
          <w:szCs w:val="24"/>
          <w:lang w:eastAsia="zh-Hans"/>
        </w:rPr>
        <w:t>验收</w:t>
      </w:r>
      <w:r>
        <w:rPr>
          <w:rFonts w:hint="eastAsia" w:ascii="宋体" w:hAnsi="宋体" w:eastAsia="宋体" w:cs="宋体"/>
          <w:kern w:val="0"/>
          <w:sz w:val="24"/>
          <w:szCs w:val="24"/>
        </w:rPr>
        <w:t>经甲方认可后，乙方向甲方递交结算报告及完整的结算资料，甲方收到乙方递交的结算报告及完整的结算资料后及时进行审核。最终结算造价经甲方或甲方委托的第三方审核机构审定金额为准为准。</w:t>
      </w:r>
    </w:p>
    <w:p w14:paraId="5C1A595D">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十</w:t>
      </w:r>
      <w:r>
        <w:rPr>
          <w:rFonts w:hint="eastAsia" w:ascii="宋体" w:hAnsi="宋体" w:eastAsia="宋体" w:cs="宋体"/>
          <w:b/>
          <w:kern w:val="0"/>
          <w:sz w:val="24"/>
          <w:szCs w:val="24"/>
          <w:lang w:eastAsia="zh-Hans"/>
        </w:rPr>
        <w:t>二</w:t>
      </w:r>
      <w:r>
        <w:rPr>
          <w:rFonts w:hint="eastAsia" w:ascii="宋体" w:hAnsi="宋体" w:eastAsia="宋体" w:cs="宋体"/>
          <w:b/>
          <w:kern w:val="0"/>
          <w:sz w:val="24"/>
          <w:szCs w:val="24"/>
        </w:rPr>
        <w:t>、违约责任</w:t>
      </w:r>
    </w:p>
    <w:p w14:paraId="62D1455A">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w:t>
      </w:r>
      <w:r>
        <w:rPr>
          <w:rFonts w:hint="eastAsia" w:ascii="宋体" w:hAnsi="宋体" w:eastAsia="宋体" w:cs="宋体"/>
          <w:kern w:val="0"/>
          <w:sz w:val="24"/>
          <w:szCs w:val="24"/>
        </w:rPr>
        <w:t>乙方因自身原因无法履行合同，导致甲方按照合同规定解除本合同的，乙方应退还甲方已支付的未完成部分所对应的费用，并按照合同暂定总价的10%向甲方支付违约金。</w:t>
      </w:r>
    </w:p>
    <w:p w14:paraId="556B8333">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w:t>
      </w:r>
      <w:r>
        <w:rPr>
          <w:rFonts w:hint="eastAsia" w:ascii="宋体" w:hAnsi="宋体" w:eastAsia="宋体" w:cs="宋体"/>
          <w:kern w:val="0"/>
          <w:sz w:val="24"/>
          <w:szCs w:val="24"/>
        </w:rPr>
        <w:t>由于乙方原因导致逾期竣工的，每逾期一天，乙方支付甲方</w:t>
      </w:r>
      <w:r>
        <w:rPr>
          <w:rFonts w:ascii="宋体" w:hAnsi="宋体" w:eastAsia="宋体" w:cs="宋体"/>
          <w:kern w:val="0"/>
          <w:sz w:val="24"/>
          <w:szCs w:val="24"/>
        </w:rPr>
        <w:t>2000</w:t>
      </w:r>
      <w:r>
        <w:rPr>
          <w:rFonts w:hint="eastAsia" w:ascii="宋体" w:hAnsi="宋体" w:eastAsia="宋体" w:cs="宋体"/>
          <w:kern w:val="0"/>
          <w:sz w:val="24"/>
          <w:szCs w:val="24"/>
        </w:rPr>
        <w:t>元违约金；乙方逾期超过</w:t>
      </w:r>
      <w:r>
        <w:rPr>
          <w:rFonts w:ascii="宋体" w:hAnsi="宋体" w:eastAsia="宋体" w:cs="宋体"/>
          <w:kern w:val="0"/>
          <w:sz w:val="24"/>
          <w:szCs w:val="24"/>
        </w:rPr>
        <w:t>1</w:t>
      </w:r>
      <w:r>
        <w:rPr>
          <w:rFonts w:hint="eastAsia" w:ascii="宋体" w:hAnsi="宋体" w:eastAsia="宋体" w:cs="宋体"/>
          <w:kern w:val="0"/>
          <w:sz w:val="24"/>
          <w:szCs w:val="24"/>
        </w:rPr>
        <w:t>0天的，</w:t>
      </w:r>
      <w:r>
        <w:rPr>
          <w:rFonts w:hint="eastAsia" w:ascii="宋体" w:hAnsi="宋体" w:eastAsia="宋体" w:cs="宋体"/>
          <w:kern w:val="0"/>
          <w:sz w:val="24"/>
          <w:szCs w:val="24"/>
          <w:lang w:bidi="ar"/>
        </w:rPr>
        <w:t>视为乙方根本违约，甲方有权单方解除合同，并可要求乙方按合同暂定总价的</w:t>
      </w:r>
      <w:r>
        <w:rPr>
          <w:rFonts w:ascii="宋体" w:hAnsi="宋体" w:eastAsia="宋体" w:cs="宋体"/>
          <w:kern w:val="0"/>
          <w:sz w:val="24"/>
          <w:szCs w:val="24"/>
          <w:lang w:bidi="ar"/>
        </w:rPr>
        <w:t>10%</w:t>
      </w:r>
      <w:r>
        <w:rPr>
          <w:rFonts w:hint="eastAsia" w:ascii="宋体" w:hAnsi="宋体" w:eastAsia="宋体" w:cs="宋体"/>
          <w:kern w:val="0"/>
          <w:sz w:val="24"/>
          <w:szCs w:val="24"/>
          <w:lang w:bidi="ar"/>
        </w:rPr>
        <w:t>向甲方承担违约金。如由此导致甲方存在其他损失的，甲方还有权要求乙方赔偿其全部损失。</w:t>
      </w:r>
    </w:p>
    <w:p w14:paraId="4D12B72C">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eastAsia="zh-Hans"/>
        </w:rPr>
        <w:t>.</w:t>
      </w:r>
      <w:r>
        <w:rPr>
          <w:rFonts w:hint="eastAsia" w:ascii="宋体" w:hAnsi="宋体" w:eastAsia="宋体" w:cs="宋体"/>
          <w:kern w:val="0"/>
          <w:sz w:val="24"/>
          <w:szCs w:val="24"/>
        </w:rPr>
        <w:t>乙方应妥善保护甲方现场设施，如因乙方自身原因造成损失，应照价赔偿。如因乙方原因致使</w:t>
      </w:r>
      <w:r>
        <w:rPr>
          <w:rFonts w:hint="eastAsia" w:ascii="宋体" w:hAnsi="宋体" w:eastAsia="宋体" w:cs="宋体"/>
          <w:kern w:val="0"/>
          <w:sz w:val="24"/>
          <w:szCs w:val="24"/>
          <w:lang w:eastAsia="zh-Hans"/>
        </w:rPr>
        <w:t>设施</w:t>
      </w:r>
      <w:r>
        <w:rPr>
          <w:rFonts w:hint="eastAsia" w:ascii="宋体" w:hAnsi="宋体" w:eastAsia="宋体" w:cs="宋体"/>
          <w:kern w:val="0"/>
          <w:sz w:val="24"/>
          <w:szCs w:val="24"/>
        </w:rPr>
        <w:t>无法正常使用，超过10天仍无法解决，甲方有权同时要求乙方支付损坏设备金额10%的违约金。</w:t>
      </w:r>
    </w:p>
    <w:p w14:paraId="3F925D05">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如乙方所派人员工作作风、工作进度、工作质量等不能令甲方满意，甲方提出后，乙方应在2个日历天内更换令甲方满意的人员直至能够为甲方提供优质服务为止，否则乙方应当向甲方承担5000元/人的违约责任,甲方从应付费用中扣除,乙方对此没有异议。</w:t>
      </w:r>
    </w:p>
    <w:p w14:paraId="3F598E10">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如乙方存在其他违约行为且经甲方通知后，未能在甲方通知要求的期限内整改的，每逾期</w:t>
      </w:r>
      <w:r>
        <w:rPr>
          <w:rFonts w:ascii="宋体" w:hAnsi="宋体" w:eastAsia="宋体" w:cs="宋体"/>
          <w:kern w:val="0"/>
          <w:sz w:val="24"/>
          <w:szCs w:val="24"/>
        </w:rPr>
        <w:t>1</w:t>
      </w:r>
      <w:r>
        <w:rPr>
          <w:rFonts w:hint="eastAsia" w:ascii="宋体" w:hAnsi="宋体" w:eastAsia="宋体" w:cs="宋体"/>
          <w:kern w:val="0"/>
          <w:sz w:val="24"/>
          <w:szCs w:val="24"/>
        </w:rPr>
        <w:t>日，甲方有权要求乙方支付人民币2</w:t>
      </w:r>
      <w:r>
        <w:rPr>
          <w:rFonts w:ascii="宋体" w:hAnsi="宋体" w:eastAsia="宋体" w:cs="宋体"/>
          <w:kern w:val="0"/>
          <w:sz w:val="24"/>
          <w:szCs w:val="24"/>
        </w:rPr>
        <w:t>000</w:t>
      </w:r>
      <w:r>
        <w:rPr>
          <w:rFonts w:hint="eastAsia" w:ascii="宋体" w:hAnsi="宋体" w:eastAsia="宋体" w:cs="宋体"/>
          <w:kern w:val="0"/>
          <w:sz w:val="24"/>
          <w:szCs w:val="24"/>
        </w:rPr>
        <w:t>元作为违约金，本合同关于违约责任另有明确约定的，从其约定</w:t>
      </w:r>
      <w:r>
        <w:rPr>
          <w:rFonts w:ascii="宋体" w:hAnsi="宋体" w:eastAsia="宋体" w:cs="宋体"/>
          <w:kern w:val="0"/>
          <w:sz w:val="24"/>
          <w:szCs w:val="24"/>
        </w:rPr>
        <w:t>。</w:t>
      </w:r>
    </w:p>
    <w:p w14:paraId="67CD3922">
      <w:pPr>
        <w:widowControl/>
        <w:adjustRightInd w:val="0"/>
        <w:snapToGrid w:val="0"/>
        <w:spacing w:line="360" w:lineRule="auto"/>
        <w:ind w:firstLine="480"/>
        <w:rPr>
          <w:rFonts w:hint="eastAsia"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乙方负责安装及制作过程中的人员安全管理工作，</w:t>
      </w:r>
      <w:r>
        <w:rPr>
          <w:rFonts w:hint="eastAsia" w:ascii="宋体" w:hAnsi="宋体" w:eastAsia="宋体" w:cs="宋体"/>
          <w:kern w:val="0"/>
          <w:sz w:val="24"/>
          <w:szCs w:val="24"/>
          <w:lang w:val="en-US" w:eastAsia="zh-CN"/>
        </w:rPr>
        <w:t>乙方所派人员均需具有深圳市应急管理局签发的特种作业操作证（作业类别：高处作业），</w:t>
      </w:r>
      <w:r>
        <w:rPr>
          <w:rFonts w:hint="eastAsia" w:ascii="宋体" w:hAnsi="宋体" w:eastAsia="宋体" w:cs="宋体"/>
          <w:kern w:val="0"/>
          <w:sz w:val="24"/>
          <w:szCs w:val="24"/>
        </w:rPr>
        <w:t>若在服务过程中发生人员（包括但不限于甲乙方聘用人员及其他第三方）意外伤害或财产损害的，与甲方无关，甲方不承担任何责任,因此造成的一切损失与赔偿责任均由乙方自行承担。</w:t>
      </w:r>
    </w:p>
    <w:p w14:paraId="38C22245">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质保期内，乙方不在约定期限内派人保修的，甲方有权委托他人修理，因此产生的全部费用及损失由乙方承担，乙方还应向甲方支付由此产生的全部费用及损失总额的10%作为违约金。</w:t>
      </w:r>
    </w:p>
    <w:p w14:paraId="0F2AB779">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8.任何情况下，乙方支付的违约金不足以弥补甲方的实际损失的，乙方还应补足甲方的实际损失（含诉讼费、律师费及甲方维护自身权益产生的其他合理费用、支出）。</w:t>
      </w:r>
    </w:p>
    <w:p w14:paraId="1A978DAC">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w:t>
      </w:r>
      <w:r>
        <w:rPr>
          <w:rFonts w:ascii="宋体" w:hAnsi="宋体" w:eastAsia="宋体" w:cs="宋体"/>
          <w:kern w:val="0"/>
          <w:sz w:val="24"/>
          <w:szCs w:val="24"/>
        </w:rPr>
        <w:t>甲方</w:t>
      </w:r>
      <w:r>
        <w:rPr>
          <w:rFonts w:hint="eastAsia" w:ascii="宋体" w:hAnsi="宋体" w:eastAsia="宋体" w:cs="宋体"/>
          <w:kern w:val="0"/>
          <w:sz w:val="24"/>
          <w:szCs w:val="24"/>
        </w:rPr>
        <w:t>提供给</w:t>
      </w:r>
      <w:r>
        <w:rPr>
          <w:rFonts w:ascii="宋体" w:hAnsi="宋体" w:eastAsia="宋体" w:cs="宋体"/>
          <w:kern w:val="0"/>
          <w:sz w:val="24"/>
          <w:szCs w:val="24"/>
        </w:rPr>
        <w:t>乙方</w:t>
      </w:r>
      <w:r>
        <w:rPr>
          <w:rFonts w:hint="eastAsia" w:ascii="宋体" w:hAnsi="宋体" w:eastAsia="宋体" w:cs="宋体"/>
          <w:kern w:val="0"/>
          <w:sz w:val="24"/>
          <w:szCs w:val="24"/>
        </w:rPr>
        <w:t>的设计原始资料、</w:t>
      </w:r>
      <w:r>
        <w:rPr>
          <w:rFonts w:ascii="宋体" w:hAnsi="宋体" w:eastAsia="宋体" w:cs="宋体"/>
          <w:kern w:val="0"/>
          <w:sz w:val="24"/>
          <w:szCs w:val="24"/>
        </w:rPr>
        <w:t>甲方</w:t>
      </w:r>
      <w:r>
        <w:rPr>
          <w:rFonts w:hint="eastAsia" w:ascii="宋体" w:hAnsi="宋体" w:eastAsia="宋体" w:cs="宋体"/>
          <w:kern w:val="0"/>
          <w:sz w:val="24"/>
          <w:szCs w:val="24"/>
        </w:rPr>
        <w:t>为实施本工程自行编制（或委托编制）的技术文件和能反映设计任务书（或其他类似性质）的文件的著作权，均属于</w:t>
      </w:r>
      <w:r>
        <w:rPr>
          <w:rFonts w:ascii="宋体" w:hAnsi="宋体" w:eastAsia="宋体" w:cs="宋体"/>
          <w:kern w:val="0"/>
          <w:sz w:val="24"/>
          <w:szCs w:val="24"/>
        </w:rPr>
        <w:t>甲方</w:t>
      </w:r>
      <w:r>
        <w:rPr>
          <w:rFonts w:hint="eastAsia" w:ascii="宋体" w:hAnsi="宋体" w:eastAsia="宋体" w:cs="宋体"/>
          <w:kern w:val="0"/>
          <w:sz w:val="24"/>
          <w:szCs w:val="24"/>
        </w:rPr>
        <w:t>。</w:t>
      </w:r>
      <w:r>
        <w:rPr>
          <w:rFonts w:ascii="宋体" w:hAnsi="宋体" w:eastAsia="宋体" w:cs="宋体"/>
          <w:kern w:val="0"/>
          <w:sz w:val="24"/>
          <w:szCs w:val="24"/>
        </w:rPr>
        <w:t>乙方</w:t>
      </w:r>
      <w:r>
        <w:rPr>
          <w:rFonts w:hint="eastAsia" w:ascii="宋体" w:hAnsi="宋体" w:eastAsia="宋体" w:cs="宋体"/>
          <w:kern w:val="0"/>
          <w:sz w:val="24"/>
          <w:szCs w:val="24"/>
        </w:rPr>
        <w:t>可以为实现本合同目标而复制及使用此类文件，但不能用于与本合同无关的其他事项。未经</w:t>
      </w:r>
      <w:r>
        <w:rPr>
          <w:rFonts w:ascii="宋体" w:hAnsi="宋体" w:eastAsia="宋体" w:cs="宋体"/>
          <w:kern w:val="0"/>
          <w:sz w:val="24"/>
          <w:szCs w:val="24"/>
        </w:rPr>
        <w:t>甲方</w:t>
      </w:r>
      <w:r>
        <w:rPr>
          <w:rFonts w:hint="eastAsia" w:ascii="宋体" w:hAnsi="宋体" w:eastAsia="宋体" w:cs="宋体"/>
          <w:kern w:val="0"/>
          <w:sz w:val="24"/>
          <w:szCs w:val="24"/>
        </w:rPr>
        <w:t>书面同意，</w:t>
      </w:r>
      <w:r>
        <w:rPr>
          <w:rFonts w:ascii="宋体" w:hAnsi="宋体" w:eastAsia="宋体" w:cs="宋体"/>
          <w:kern w:val="0"/>
          <w:sz w:val="24"/>
          <w:szCs w:val="24"/>
        </w:rPr>
        <w:t>乙方</w:t>
      </w:r>
      <w:r>
        <w:rPr>
          <w:rFonts w:hint="eastAsia" w:ascii="宋体" w:hAnsi="宋体" w:eastAsia="宋体" w:cs="宋体"/>
          <w:kern w:val="0"/>
          <w:sz w:val="24"/>
          <w:szCs w:val="24"/>
        </w:rPr>
        <w:t>不得为了本合同以外的事项而复制及使用上述文件，不得将之提供给任何第三方。</w:t>
      </w:r>
      <w:r>
        <w:rPr>
          <w:rFonts w:ascii="宋体" w:hAnsi="宋体" w:eastAsia="宋体" w:cs="宋体"/>
          <w:kern w:val="0"/>
          <w:sz w:val="24"/>
          <w:szCs w:val="24"/>
        </w:rPr>
        <w:t>乙方存在前述情况的，因此造成的一切损失与赔偿责任均由乙方自行承担。乙方</w:t>
      </w:r>
      <w:r>
        <w:rPr>
          <w:rFonts w:hint="eastAsia" w:ascii="宋体" w:hAnsi="宋体" w:eastAsia="宋体" w:cs="宋体"/>
          <w:kern w:val="0"/>
          <w:sz w:val="24"/>
          <w:szCs w:val="24"/>
        </w:rPr>
        <w:t>保证在履行合同过程中不侵犯</w:t>
      </w:r>
      <w:r>
        <w:rPr>
          <w:rFonts w:ascii="宋体" w:hAnsi="宋体" w:eastAsia="宋体" w:cs="宋体"/>
          <w:kern w:val="0"/>
          <w:sz w:val="24"/>
          <w:szCs w:val="24"/>
        </w:rPr>
        <w:t>甲方</w:t>
      </w:r>
      <w:r>
        <w:rPr>
          <w:rFonts w:hint="eastAsia" w:ascii="宋体" w:hAnsi="宋体" w:eastAsia="宋体" w:cs="宋体"/>
          <w:kern w:val="0"/>
          <w:sz w:val="24"/>
          <w:szCs w:val="24"/>
        </w:rPr>
        <w:t>及第三方的知识产权。</w:t>
      </w:r>
      <w:r>
        <w:rPr>
          <w:rFonts w:ascii="宋体" w:hAnsi="宋体" w:eastAsia="宋体" w:cs="宋体"/>
          <w:kern w:val="0"/>
          <w:sz w:val="24"/>
          <w:szCs w:val="24"/>
        </w:rPr>
        <w:t>乙方</w:t>
      </w:r>
      <w:r>
        <w:rPr>
          <w:rFonts w:hint="eastAsia" w:ascii="宋体" w:hAnsi="宋体" w:eastAsia="宋体" w:cs="宋体"/>
          <w:kern w:val="0"/>
          <w:sz w:val="24"/>
          <w:szCs w:val="24"/>
        </w:rPr>
        <w:t>在进行工程</w:t>
      </w:r>
      <w:r>
        <w:rPr>
          <w:rFonts w:ascii="宋体" w:hAnsi="宋体" w:eastAsia="宋体" w:cs="宋体"/>
          <w:kern w:val="0"/>
          <w:sz w:val="24"/>
          <w:szCs w:val="24"/>
        </w:rPr>
        <w:t>深化</w:t>
      </w:r>
      <w:r>
        <w:rPr>
          <w:rFonts w:hint="eastAsia" w:ascii="宋体" w:hAnsi="宋体" w:eastAsia="宋体" w:cs="宋体"/>
          <w:kern w:val="0"/>
          <w:sz w:val="24"/>
          <w:szCs w:val="24"/>
        </w:rPr>
        <w:t>设计</w:t>
      </w:r>
      <w:r>
        <w:rPr>
          <w:rFonts w:ascii="宋体" w:hAnsi="宋体" w:eastAsia="宋体" w:cs="宋体"/>
          <w:kern w:val="0"/>
          <w:sz w:val="24"/>
          <w:szCs w:val="24"/>
        </w:rPr>
        <w:t>等过程中</w:t>
      </w:r>
      <w:r>
        <w:rPr>
          <w:rFonts w:hint="eastAsia" w:ascii="宋体" w:hAnsi="宋体" w:eastAsia="宋体" w:cs="宋体"/>
          <w:kern w:val="0"/>
          <w:sz w:val="24"/>
          <w:szCs w:val="24"/>
        </w:rPr>
        <w:t>，因侵犯他人的专利权或其他知识产权所引起的责任，由</w:t>
      </w:r>
      <w:r>
        <w:rPr>
          <w:rFonts w:ascii="宋体" w:hAnsi="宋体" w:eastAsia="宋体" w:cs="宋体"/>
          <w:kern w:val="0"/>
          <w:sz w:val="24"/>
          <w:szCs w:val="24"/>
        </w:rPr>
        <w:t>乙方</w:t>
      </w:r>
      <w:r>
        <w:rPr>
          <w:rFonts w:hint="eastAsia" w:ascii="宋体" w:hAnsi="宋体" w:eastAsia="宋体" w:cs="宋体"/>
          <w:kern w:val="0"/>
          <w:sz w:val="24"/>
          <w:szCs w:val="24"/>
        </w:rPr>
        <w:t>承担</w:t>
      </w:r>
      <w:r>
        <w:rPr>
          <w:rFonts w:ascii="宋体" w:hAnsi="宋体" w:eastAsia="宋体" w:cs="宋体"/>
          <w:kern w:val="0"/>
          <w:sz w:val="24"/>
          <w:szCs w:val="24"/>
        </w:rPr>
        <w:t>。</w:t>
      </w:r>
    </w:p>
    <w:p w14:paraId="7BFE9C22">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十</w:t>
      </w:r>
      <w:r>
        <w:rPr>
          <w:rFonts w:hint="eastAsia" w:ascii="宋体" w:hAnsi="宋体" w:eastAsia="宋体" w:cs="宋体"/>
          <w:b/>
          <w:kern w:val="0"/>
          <w:sz w:val="24"/>
          <w:szCs w:val="24"/>
          <w:lang w:eastAsia="zh-Hans"/>
        </w:rPr>
        <w:t>三</w:t>
      </w:r>
      <w:r>
        <w:rPr>
          <w:rFonts w:hint="eastAsia" w:ascii="宋体" w:hAnsi="宋体" w:eastAsia="宋体" w:cs="宋体"/>
          <w:b/>
          <w:kern w:val="0"/>
          <w:sz w:val="24"/>
          <w:szCs w:val="24"/>
        </w:rPr>
        <w:t>、不可抗力</w:t>
      </w:r>
    </w:p>
    <w:p w14:paraId="6F0EB083">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w:t>
      </w:r>
      <w:r>
        <w:rPr>
          <w:rFonts w:hint="eastAsia" w:ascii="宋体" w:hAnsi="宋体" w:eastAsia="宋体" w:cs="宋体"/>
          <w:kern w:val="0"/>
          <w:sz w:val="24"/>
          <w:szCs w:val="24"/>
        </w:rPr>
        <w:t>不可抗力系指签署本合同时不可预见、对其发生不可避免、对其后果无法克服的客观情况，包括战争、骚乱、暴乱、恐怖主义、封锁和禁运、地震、洪水、暴风。因不可抗力造成本合同任何一方不能履行本合同，双方都不承担责任，但相关方应在条件允许的情况下采取一切必要的补救措施，以减少不可抗力对双方造成的损失。除非双方另有约定，在当事人迟延履行后发生不可抗力的，不能免除责任。</w:t>
      </w:r>
    </w:p>
    <w:p w14:paraId="4C7851EA">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eastAsia="zh-Hans"/>
        </w:rPr>
        <w:t>.</w:t>
      </w:r>
      <w:r>
        <w:rPr>
          <w:rFonts w:hint="eastAsia" w:ascii="宋体" w:hAnsi="宋体" w:eastAsia="宋体" w:cs="宋体"/>
          <w:kern w:val="0"/>
          <w:sz w:val="24"/>
          <w:szCs w:val="24"/>
        </w:rPr>
        <w:t>在发生不可抗力的情况下，受不可抗力影响的一方应在三十（</w:t>
      </w:r>
      <w:r>
        <w:rPr>
          <w:rFonts w:ascii="宋体" w:hAnsi="宋体" w:eastAsia="宋体" w:cs="宋体"/>
          <w:kern w:val="0"/>
          <w:sz w:val="24"/>
          <w:szCs w:val="24"/>
        </w:rPr>
        <w:t>30</w:t>
      </w:r>
      <w:r>
        <w:rPr>
          <w:rFonts w:hint="eastAsia" w:ascii="宋体" w:hAnsi="宋体" w:eastAsia="宋体" w:cs="宋体"/>
          <w:kern w:val="0"/>
          <w:sz w:val="24"/>
          <w:szCs w:val="24"/>
        </w:rPr>
        <w:t>）日内将详细信息书面通知其他方，并向其他方提交一份报告，说明其不能或延迟履行本合同项下全部或部分义务的原因。各方应就不可抗力导致的不能履行或部分不能履行的善后事宜进行友好协商，决定是否暂时中止或终止本合同。</w:t>
      </w:r>
    </w:p>
    <w:p w14:paraId="547829E9">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rPr>
        <w:t>十</w:t>
      </w:r>
      <w:r>
        <w:rPr>
          <w:rFonts w:hint="eastAsia" w:ascii="宋体" w:hAnsi="宋体" w:eastAsia="宋体" w:cs="宋体"/>
          <w:b/>
          <w:kern w:val="0"/>
          <w:sz w:val="24"/>
          <w:szCs w:val="24"/>
          <w:lang w:eastAsia="zh-Hans"/>
        </w:rPr>
        <w:t>四</w:t>
      </w:r>
      <w:r>
        <w:rPr>
          <w:rFonts w:hint="eastAsia" w:ascii="宋体" w:hAnsi="宋体" w:eastAsia="宋体" w:cs="宋体"/>
          <w:b/>
          <w:kern w:val="0"/>
          <w:sz w:val="24"/>
          <w:szCs w:val="24"/>
        </w:rPr>
        <w:t>、通知与送达</w:t>
      </w:r>
    </w:p>
    <w:p w14:paraId="09126129">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合同中双方的联系地址和电话为各方接收信函、通知等文件、材料的法定送达地址和联系电话，合同一方变更联系地址和电话，应提前书面通知对方，变更方未及时通知对方的，则因此产生的一切责任和损失均由该变更方承担。</w:t>
      </w:r>
    </w:p>
    <w:p w14:paraId="7BCDC16F">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合同一方按约定的地址和电话将信函、通知、材料等以邮政</w:t>
      </w:r>
      <w:r>
        <w:rPr>
          <w:rFonts w:ascii="宋体" w:hAnsi="宋体" w:eastAsia="宋体" w:cs="宋体"/>
          <w:kern w:val="0"/>
          <w:sz w:val="24"/>
          <w:szCs w:val="24"/>
        </w:rPr>
        <w:t>EMS寄发或交由对方代表签收后即视为履行了通知、送达义务，并产生相应的法律效力。EMS邮件，对方拒收、非本人签收、退回、无法送达等均视为送达并同样产生送达的法律效力。</w:t>
      </w:r>
    </w:p>
    <w:p w14:paraId="3B5ED2DA">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甲方联系信息：</w:t>
      </w:r>
      <w:r>
        <w:rPr>
          <w:rFonts w:ascii="宋体" w:hAnsi="宋体" w:eastAsia="宋体" w:cs="宋体"/>
          <w:kern w:val="0"/>
          <w:sz w:val="24"/>
          <w:szCs w:val="24"/>
          <w:u w:val="single"/>
        </w:rPr>
        <w:t xml:space="preserve">              </w:t>
      </w:r>
    </w:p>
    <w:p w14:paraId="6BB91DFB">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乙方联系信息：</w:t>
      </w:r>
      <w:r>
        <w:rPr>
          <w:rFonts w:ascii="宋体" w:hAnsi="宋体" w:eastAsia="宋体" w:cs="宋体"/>
          <w:kern w:val="0"/>
          <w:sz w:val="24"/>
          <w:szCs w:val="24"/>
          <w:u w:val="single"/>
        </w:rPr>
        <w:t xml:space="preserve">              </w:t>
      </w:r>
    </w:p>
    <w:p w14:paraId="0E4D09B5">
      <w:pPr>
        <w:widowControl/>
        <w:spacing w:line="360" w:lineRule="auto"/>
        <w:ind w:firstLine="472" w:firstLineChars="196"/>
        <w:jc w:val="left"/>
        <w:textAlignment w:val="baseline"/>
        <w:outlineLvl w:val="0"/>
        <w:rPr>
          <w:rFonts w:hint="eastAsia" w:ascii="宋体" w:hAnsi="宋体" w:eastAsia="宋体" w:cs="宋体"/>
          <w:b/>
          <w:kern w:val="0"/>
          <w:sz w:val="24"/>
          <w:szCs w:val="24"/>
        </w:rPr>
      </w:pPr>
      <w:r>
        <w:rPr>
          <w:rFonts w:hint="eastAsia" w:ascii="宋体" w:hAnsi="宋体" w:eastAsia="宋体" w:cs="宋体"/>
          <w:b/>
          <w:kern w:val="0"/>
          <w:sz w:val="24"/>
          <w:szCs w:val="24"/>
          <w:lang w:eastAsia="zh-Hans"/>
        </w:rPr>
        <w:t>十五</w:t>
      </w:r>
      <w:r>
        <w:rPr>
          <w:rFonts w:hint="eastAsia" w:ascii="宋体" w:hAnsi="宋体" w:eastAsia="宋体" w:cs="宋体"/>
          <w:b/>
          <w:kern w:val="0"/>
          <w:sz w:val="24"/>
          <w:szCs w:val="24"/>
        </w:rPr>
        <w:t>、其他</w:t>
      </w:r>
    </w:p>
    <w:p w14:paraId="19523288">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1、执行本合同发生争议，由当事人双方协商解决，若协商不成，向本项目所在地人民法院起诉。</w:t>
      </w:r>
    </w:p>
    <w:p w14:paraId="76DB0BDF">
      <w:pPr>
        <w:widowControl/>
        <w:adjustRightInd w:val="0"/>
        <w:snapToGrid w:val="0"/>
        <w:spacing w:line="360" w:lineRule="auto"/>
        <w:ind w:firstLine="480" w:firstLineChars="200"/>
        <w:rPr>
          <w:rFonts w:hint="eastAsia"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、本合同一式</w:t>
      </w:r>
      <w:r>
        <w:rPr>
          <w:rFonts w:ascii="宋体" w:hAnsi="宋体" w:eastAsia="宋体" w:cs="宋体"/>
          <w:kern w:val="0"/>
          <w:sz w:val="24"/>
          <w:szCs w:val="24"/>
        </w:rPr>
        <w:t>6</w:t>
      </w:r>
      <w:r>
        <w:rPr>
          <w:rFonts w:hint="eastAsia" w:ascii="宋体" w:hAnsi="宋体" w:eastAsia="宋体" w:cs="宋体"/>
          <w:kern w:val="0"/>
          <w:sz w:val="24"/>
          <w:szCs w:val="24"/>
        </w:rPr>
        <w:t>份，均具有同等法律效力，甲方执</w:t>
      </w:r>
      <w:r>
        <w:rPr>
          <w:rFonts w:ascii="宋体" w:hAnsi="宋体" w:eastAsia="宋体" w:cs="宋体"/>
          <w:kern w:val="0"/>
          <w:sz w:val="24"/>
          <w:szCs w:val="24"/>
        </w:rPr>
        <w:t>4</w:t>
      </w:r>
      <w:r>
        <w:rPr>
          <w:rFonts w:hint="eastAsia" w:ascii="宋体" w:hAnsi="宋体" w:eastAsia="宋体" w:cs="宋体"/>
          <w:kern w:val="0"/>
          <w:sz w:val="24"/>
          <w:szCs w:val="24"/>
        </w:rPr>
        <w:t>份，乙方执</w:t>
      </w:r>
      <w:r>
        <w:rPr>
          <w:rFonts w:ascii="宋体" w:hAnsi="宋体" w:eastAsia="宋体" w:cs="宋体"/>
          <w:kern w:val="0"/>
          <w:sz w:val="24"/>
          <w:szCs w:val="24"/>
        </w:rPr>
        <w:t>2</w:t>
      </w:r>
      <w:r>
        <w:rPr>
          <w:rFonts w:hint="eastAsia" w:ascii="宋体" w:hAnsi="宋体" w:eastAsia="宋体" w:cs="宋体"/>
          <w:kern w:val="0"/>
          <w:sz w:val="24"/>
          <w:szCs w:val="24"/>
        </w:rPr>
        <w:t>份。本合同经双方代表签字且加盖双方公章或合同专用章即生效。本合同履行完成后自动终止。</w:t>
      </w:r>
    </w:p>
    <w:p w14:paraId="605EF9A8">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3、双方有关变更等书面协议书或文件视为本合同的组成部分。</w:t>
      </w:r>
    </w:p>
    <w:p w14:paraId="0F3A0C66">
      <w:pPr>
        <w:widowControl/>
        <w:adjustRightInd w:val="0"/>
        <w:snapToGrid w:val="0"/>
        <w:spacing w:line="360" w:lineRule="auto"/>
        <w:ind w:firstLine="480" w:firstLineChars="200"/>
        <w:rPr>
          <w:rFonts w:hint="eastAsia"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、本合同未尽事宜，甲、乙双方另行协商解决。</w:t>
      </w:r>
    </w:p>
    <w:p w14:paraId="21F173D7">
      <w:pPr>
        <w:widowControl/>
        <w:adjustRightInd w:val="0"/>
        <w:snapToGrid w:val="0"/>
        <w:spacing w:line="360" w:lineRule="auto"/>
        <w:jc w:val="center"/>
        <w:rPr>
          <w:rFonts w:hint="eastAsia" w:ascii="宋体" w:hAnsi="宋体" w:eastAsia="宋体" w:cs="宋体"/>
          <w:kern w:val="0"/>
          <w:sz w:val="24"/>
          <w:szCs w:val="24"/>
        </w:rPr>
      </w:pPr>
      <w:bookmarkStart w:id="6" w:name="_Toc519070492"/>
      <w:bookmarkStart w:id="7" w:name="_Toc485676143"/>
      <w:bookmarkStart w:id="8" w:name="_Toc462492606"/>
      <w:bookmarkStart w:id="9" w:name="_Toc462492435"/>
    </w:p>
    <w:p w14:paraId="493C977E">
      <w:pPr>
        <w:widowControl/>
        <w:rPr>
          <w:rFonts w:hint="eastAsia" w:ascii="宋体" w:hAnsi="宋体" w:eastAsia="宋体" w:cs="宋体"/>
          <w:kern w:val="0"/>
          <w:sz w:val="24"/>
          <w:szCs w:val="24"/>
        </w:rPr>
      </w:pPr>
      <w:r>
        <w:rPr>
          <w:rFonts w:ascii="宋体" w:hAnsi="宋体" w:eastAsia="宋体" w:cs="宋体"/>
          <w:kern w:val="0"/>
          <w:sz w:val="24"/>
          <w:szCs w:val="24"/>
        </w:rPr>
        <w:br w:type="page"/>
      </w:r>
    </w:p>
    <w:p w14:paraId="348CED77">
      <w:pPr>
        <w:pStyle w:val="4"/>
        <w:ind w:firstLine="480"/>
      </w:pPr>
    </w:p>
    <w:tbl>
      <w:tblPr>
        <w:tblStyle w:val="14"/>
        <w:tblW w:w="882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9"/>
        <w:gridCol w:w="4434"/>
      </w:tblGrid>
      <w:tr w14:paraId="23788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trPr>
        <w:tc>
          <w:tcPr>
            <w:tcW w:w="4389" w:type="dxa"/>
            <w:shd w:val="clear" w:color="auto" w:fill="auto"/>
          </w:tcPr>
          <w:p w14:paraId="240ACD0D">
            <w:pPr>
              <w:spacing w:after="160" w:line="360" w:lineRule="auto"/>
              <w:jc w:val="left"/>
              <w:rPr>
                <w:rFonts w:hint="eastAsia" w:ascii="宋体" w:hAnsi="宋体" w:eastAsia="宋体" w:cs="宋体"/>
                <w:bCs/>
                <w:sz w:val="24"/>
                <w:szCs w:val="24"/>
              </w:rPr>
            </w:pPr>
            <w:r>
              <w:rPr>
                <w:rFonts w:ascii="宋体" w:hAnsi="宋体" w:eastAsia="宋体" w:cs="宋体"/>
                <w:b/>
                <w:sz w:val="24"/>
                <w:szCs w:val="24"/>
              </w:rPr>
              <w:t>甲方</w:t>
            </w:r>
            <w:r>
              <w:rPr>
                <w:rFonts w:hint="eastAsia" w:ascii="宋体" w:hAnsi="宋体" w:eastAsia="宋体" w:cs="宋体"/>
                <w:b/>
                <w:sz w:val="24"/>
                <w:szCs w:val="24"/>
              </w:rPr>
              <w:t>：</w:t>
            </w:r>
            <w:r>
              <w:rPr>
                <w:rFonts w:ascii="宋体" w:hAnsi="宋体" w:eastAsia="宋体" w:cs="宋体"/>
                <w:b/>
                <w:sz w:val="24"/>
                <w:szCs w:val="24"/>
              </w:rPr>
              <w:t>深圳创科发展有限公司</w:t>
            </w:r>
            <w:r>
              <w:rPr>
                <w:rFonts w:hint="eastAsia" w:ascii="宋体" w:hAnsi="宋体" w:eastAsia="宋体" w:cs="宋体"/>
                <w:sz w:val="24"/>
                <w:szCs w:val="24"/>
              </w:rPr>
              <w:t>(盖章)</w:t>
            </w:r>
          </w:p>
        </w:tc>
        <w:tc>
          <w:tcPr>
            <w:tcW w:w="4434" w:type="dxa"/>
            <w:shd w:val="clear" w:color="auto" w:fill="auto"/>
          </w:tcPr>
          <w:p w14:paraId="173A4F76">
            <w:pPr>
              <w:spacing w:after="160" w:line="360" w:lineRule="auto"/>
              <w:jc w:val="left"/>
              <w:rPr>
                <w:rFonts w:hint="eastAsia" w:ascii="宋体" w:hAnsi="宋体" w:eastAsia="宋体" w:cs="宋体"/>
                <w:bCs/>
                <w:sz w:val="24"/>
                <w:szCs w:val="24"/>
              </w:rPr>
            </w:pPr>
            <w:r>
              <w:rPr>
                <w:rFonts w:hint="eastAsia" w:ascii="宋体" w:hAnsi="宋体" w:eastAsia="宋体" w:cs="宋体"/>
                <w:b/>
                <w:sz w:val="24"/>
                <w:szCs w:val="24"/>
                <w:lang w:eastAsia="zh-Hans"/>
              </w:rPr>
              <w:t>乙方</w:t>
            </w:r>
            <w:r>
              <w:rPr>
                <w:rFonts w:hint="eastAsia" w:ascii="宋体" w:hAnsi="宋体" w:eastAsia="宋体" w:cs="宋体"/>
                <w:b/>
                <w:sz w:val="24"/>
                <w:szCs w:val="24"/>
              </w:rPr>
              <w:t>：</w:t>
            </w:r>
            <w:r>
              <w:rPr>
                <w:rFonts w:hint="eastAsia" w:ascii="宋体" w:hAnsi="宋体" w:eastAsia="宋体" w:cs="宋体"/>
                <w:sz w:val="24"/>
                <w:szCs w:val="24"/>
              </w:rPr>
              <w:t>(盖章)</w:t>
            </w:r>
            <w:r>
              <w:rPr>
                <w:rFonts w:hint="eastAsia" w:ascii="宋体" w:hAnsi="宋体" w:eastAsia="宋体" w:cs="宋体"/>
                <w:b/>
                <w:bCs/>
                <w:sz w:val="24"/>
                <w:szCs w:val="24"/>
              </w:rPr>
              <w:t xml:space="preserve">                                         </w:t>
            </w:r>
          </w:p>
        </w:tc>
      </w:tr>
      <w:tr w14:paraId="7CD2B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4389" w:type="dxa"/>
            <w:shd w:val="clear" w:color="auto" w:fill="auto"/>
          </w:tcPr>
          <w:p w14:paraId="03D157D7">
            <w:pPr>
              <w:spacing w:after="160" w:line="360" w:lineRule="auto"/>
              <w:jc w:val="left"/>
              <w:rPr>
                <w:rFonts w:hint="eastAsia" w:ascii="宋体" w:hAnsi="宋体" w:eastAsia="宋体" w:cs="宋体"/>
                <w:b/>
                <w:sz w:val="24"/>
                <w:szCs w:val="24"/>
              </w:rPr>
            </w:pPr>
            <w:r>
              <w:rPr>
                <w:rFonts w:hint="eastAsia" w:ascii="宋体" w:hAnsi="宋体" w:eastAsia="宋体" w:cs="宋体"/>
                <w:b/>
                <w:sz w:val="24"/>
                <w:szCs w:val="24"/>
              </w:rPr>
              <w:t>法定代表人或其委托代理人：</w:t>
            </w:r>
          </w:p>
          <w:p w14:paraId="377C323C">
            <w:pPr>
              <w:spacing w:after="160" w:line="360" w:lineRule="auto"/>
              <w:jc w:val="left"/>
              <w:rPr>
                <w:rFonts w:hint="eastAsia" w:ascii="宋体" w:hAnsi="宋体" w:eastAsia="宋体" w:cs="宋体"/>
                <w:bCs/>
                <w:sz w:val="24"/>
                <w:szCs w:val="24"/>
              </w:rPr>
            </w:pPr>
            <w:r>
              <w:rPr>
                <w:rFonts w:hint="eastAsia" w:ascii="宋体" w:hAnsi="宋体" w:eastAsia="宋体" w:cs="宋体"/>
                <w:sz w:val="24"/>
                <w:szCs w:val="24"/>
              </w:rPr>
              <w:t>（签字或盖章）</w:t>
            </w:r>
          </w:p>
        </w:tc>
        <w:tc>
          <w:tcPr>
            <w:tcW w:w="4434" w:type="dxa"/>
            <w:shd w:val="clear" w:color="auto" w:fill="auto"/>
          </w:tcPr>
          <w:p w14:paraId="0A1079EC">
            <w:pPr>
              <w:spacing w:after="160" w:line="360" w:lineRule="auto"/>
              <w:jc w:val="left"/>
              <w:rPr>
                <w:rFonts w:hint="eastAsia" w:ascii="宋体" w:hAnsi="宋体" w:eastAsia="宋体" w:cs="宋体"/>
                <w:b/>
                <w:sz w:val="24"/>
                <w:szCs w:val="24"/>
              </w:rPr>
            </w:pPr>
            <w:r>
              <w:rPr>
                <w:rFonts w:hint="eastAsia" w:ascii="宋体" w:hAnsi="宋体" w:eastAsia="宋体" w:cs="宋体"/>
                <w:b/>
                <w:sz w:val="24"/>
                <w:szCs w:val="24"/>
              </w:rPr>
              <w:t>法定代表人或其委托代理人：</w:t>
            </w:r>
          </w:p>
          <w:p w14:paraId="26409151">
            <w:pPr>
              <w:spacing w:after="160" w:line="360" w:lineRule="auto"/>
              <w:jc w:val="left"/>
              <w:rPr>
                <w:rFonts w:hint="eastAsia" w:ascii="宋体" w:hAnsi="宋体" w:eastAsia="宋体" w:cs="宋体"/>
                <w:bCs/>
                <w:sz w:val="24"/>
                <w:szCs w:val="24"/>
              </w:rPr>
            </w:pPr>
            <w:r>
              <w:rPr>
                <w:rFonts w:hint="eastAsia" w:ascii="宋体" w:hAnsi="宋体" w:eastAsia="宋体" w:cs="宋体"/>
                <w:sz w:val="24"/>
                <w:szCs w:val="24"/>
              </w:rPr>
              <w:t>（签字或盖章）</w:t>
            </w:r>
          </w:p>
        </w:tc>
      </w:tr>
      <w:tr w14:paraId="6885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9" w:type="dxa"/>
            <w:shd w:val="clear" w:color="auto" w:fill="auto"/>
          </w:tcPr>
          <w:p w14:paraId="6BDE19B2">
            <w:pPr>
              <w:spacing w:after="160" w:line="360" w:lineRule="auto"/>
              <w:jc w:val="left"/>
              <w:rPr>
                <w:rFonts w:hint="eastAsia" w:ascii="宋体" w:hAnsi="宋体" w:eastAsia="宋体" w:cs="宋体"/>
                <w:bCs/>
                <w:sz w:val="24"/>
                <w:szCs w:val="24"/>
              </w:rPr>
            </w:pPr>
            <w:r>
              <w:rPr>
                <w:rFonts w:hint="eastAsia" w:ascii="宋体" w:hAnsi="宋体" w:eastAsia="宋体" w:cs="宋体"/>
                <w:b/>
                <w:sz w:val="24"/>
                <w:szCs w:val="24"/>
                <w:lang w:eastAsia="zh-Hans"/>
              </w:rPr>
              <w:t>纳税人识别号</w:t>
            </w:r>
            <w:r>
              <w:rPr>
                <w:rFonts w:hint="eastAsia" w:ascii="宋体" w:hAnsi="宋体" w:eastAsia="宋体" w:cs="宋体"/>
                <w:b/>
                <w:sz w:val="24"/>
                <w:szCs w:val="24"/>
              </w:rPr>
              <w:t>：91440300MA5FTJN81T</w:t>
            </w:r>
          </w:p>
        </w:tc>
        <w:tc>
          <w:tcPr>
            <w:tcW w:w="4434" w:type="dxa"/>
            <w:shd w:val="clear" w:color="auto" w:fill="auto"/>
          </w:tcPr>
          <w:p w14:paraId="71253068">
            <w:pPr>
              <w:spacing w:after="160" w:line="360" w:lineRule="auto"/>
              <w:jc w:val="left"/>
              <w:rPr>
                <w:rFonts w:hint="eastAsia" w:ascii="宋体" w:hAnsi="宋体" w:eastAsia="宋体" w:cs="宋体"/>
                <w:bCs/>
                <w:sz w:val="24"/>
                <w:szCs w:val="24"/>
              </w:rPr>
            </w:pPr>
            <w:r>
              <w:rPr>
                <w:rFonts w:hint="eastAsia" w:ascii="宋体" w:hAnsi="宋体" w:eastAsia="宋体" w:cs="宋体"/>
                <w:b/>
                <w:sz w:val="24"/>
                <w:szCs w:val="24"/>
                <w:lang w:eastAsia="zh-Hans"/>
              </w:rPr>
              <w:t>纳税人识别号</w:t>
            </w:r>
            <w:r>
              <w:rPr>
                <w:rFonts w:hint="eastAsia" w:ascii="宋体" w:hAnsi="宋体" w:eastAsia="宋体" w:cs="宋体"/>
                <w:b/>
                <w:sz w:val="24"/>
                <w:szCs w:val="24"/>
              </w:rPr>
              <w:t xml:space="preserve">： </w:t>
            </w:r>
          </w:p>
        </w:tc>
      </w:tr>
      <w:tr w14:paraId="510F3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9" w:type="dxa"/>
            <w:shd w:val="clear" w:color="auto" w:fill="auto"/>
          </w:tcPr>
          <w:p w14:paraId="6B745F4B">
            <w:pPr>
              <w:spacing w:after="160" w:line="360" w:lineRule="auto"/>
              <w:jc w:val="left"/>
              <w:rPr>
                <w:rFonts w:hint="eastAsia" w:ascii="宋体" w:hAnsi="宋体" w:eastAsia="宋体" w:cs="宋体"/>
                <w:bCs/>
                <w:sz w:val="24"/>
                <w:szCs w:val="24"/>
              </w:rPr>
            </w:pPr>
            <w:r>
              <w:rPr>
                <w:rFonts w:hint="eastAsia" w:ascii="宋体" w:hAnsi="宋体" w:eastAsia="宋体" w:cs="宋体"/>
                <w:b/>
                <w:sz w:val="24"/>
                <w:szCs w:val="24"/>
              </w:rPr>
              <w:t>地址：</w:t>
            </w:r>
            <w:r>
              <w:rPr>
                <w:rFonts w:hint="eastAsia" w:ascii="宋体" w:hAnsi="宋体" w:eastAsia="宋体" w:cs="宋体"/>
                <w:b/>
                <w:sz w:val="24"/>
                <w:szCs w:val="24"/>
                <w:u w:val="single"/>
              </w:rPr>
              <w:t>深圳市福田保税区桃花路3号国资国企产业创新中心2号楼7层</w:t>
            </w:r>
          </w:p>
        </w:tc>
        <w:tc>
          <w:tcPr>
            <w:tcW w:w="4434" w:type="dxa"/>
            <w:shd w:val="clear" w:color="auto" w:fill="auto"/>
          </w:tcPr>
          <w:p w14:paraId="560543E4">
            <w:pPr>
              <w:ind w:left="1325" w:hanging="1325" w:hangingChars="550"/>
              <w:jc w:val="left"/>
              <w:rPr>
                <w:rFonts w:hint="eastAsia" w:ascii="宋体" w:hAnsi="宋体" w:eastAsia="宋体" w:cs="宋体"/>
                <w:bCs/>
                <w:sz w:val="24"/>
                <w:szCs w:val="24"/>
              </w:rPr>
            </w:pPr>
            <w:r>
              <w:rPr>
                <w:rFonts w:hint="eastAsia" w:ascii="宋体" w:hAnsi="宋体" w:eastAsia="宋体" w:cs="宋体"/>
                <w:b/>
                <w:sz w:val="24"/>
                <w:szCs w:val="24"/>
              </w:rPr>
              <w:t>地址：</w:t>
            </w:r>
          </w:p>
        </w:tc>
      </w:tr>
      <w:tr w14:paraId="6B4A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9" w:type="dxa"/>
            <w:shd w:val="clear" w:color="auto" w:fill="auto"/>
          </w:tcPr>
          <w:p w14:paraId="65BE5CFE">
            <w:pPr>
              <w:spacing w:after="160" w:line="360" w:lineRule="auto"/>
              <w:jc w:val="left"/>
              <w:rPr>
                <w:rFonts w:hint="eastAsia" w:ascii="宋体" w:hAnsi="宋体" w:eastAsia="宋体" w:cs="宋体"/>
                <w:bCs/>
                <w:sz w:val="24"/>
                <w:szCs w:val="24"/>
              </w:rPr>
            </w:pPr>
            <w:r>
              <w:rPr>
                <w:rFonts w:hint="eastAsia" w:ascii="宋体" w:hAnsi="宋体" w:eastAsia="宋体" w:cs="宋体"/>
                <w:b/>
                <w:sz w:val="24"/>
                <w:szCs w:val="24"/>
              </w:rPr>
              <w:t>邮政编码：</w:t>
            </w:r>
            <w:r>
              <w:rPr>
                <w:rFonts w:hint="eastAsia" w:ascii="宋体" w:hAnsi="宋体" w:eastAsia="宋体" w:cs="宋体"/>
                <w:b/>
                <w:sz w:val="24"/>
                <w:szCs w:val="24"/>
                <w:u w:val="single"/>
              </w:rPr>
              <w:t>518048</w:t>
            </w:r>
            <w:r>
              <w:rPr>
                <w:rFonts w:hint="eastAsia" w:ascii="宋体" w:hAnsi="宋体" w:eastAsia="宋体" w:cs="宋体"/>
                <w:b/>
                <w:sz w:val="24"/>
                <w:szCs w:val="24"/>
              </w:rPr>
              <w:t xml:space="preserve">   </w:t>
            </w:r>
          </w:p>
        </w:tc>
        <w:tc>
          <w:tcPr>
            <w:tcW w:w="4434" w:type="dxa"/>
            <w:shd w:val="clear" w:color="auto" w:fill="auto"/>
          </w:tcPr>
          <w:p w14:paraId="35745AF4">
            <w:pPr>
              <w:spacing w:after="160" w:line="360" w:lineRule="auto"/>
              <w:jc w:val="left"/>
              <w:rPr>
                <w:rFonts w:hint="eastAsia" w:ascii="宋体" w:hAnsi="宋体" w:eastAsia="宋体" w:cs="宋体"/>
                <w:bCs/>
                <w:sz w:val="24"/>
                <w:szCs w:val="24"/>
              </w:rPr>
            </w:pPr>
            <w:r>
              <w:rPr>
                <w:rFonts w:hint="eastAsia" w:ascii="宋体" w:hAnsi="宋体" w:eastAsia="宋体" w:cs="宋体"/>
                <w:b/>
                <w:sz w:val="24"/>
                <w:szCs w:val="24"/>
              </w:rPr>
              <w:t>邮政编码：</w:t>
            </w:r>
            <w:r>
              <w:rPr>
                <w:rFonts w:hint="eastAsia" w:ascii="宋体" w:hAnsi="宋体" w:eastAsia="宋体" w:cs="宋体"/>
                <w:b/>
                <w:sz w:val="24"/>
                <w:szCs w:val="24"/>
                <w:u w:val="single"/>
              </w:rPr>
              <w:t xml:space="preserve">       </w:t>
            </w:r>
          </w:p>
        </w:tc>
      </w:tr>
      <w:tr w14:paraId="45357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9" w:type="dxa"/>
            <w:shd w:val="clear" w:color="auto" w:fill="auto"/>
          </w:tcPr>
          <w:p w14:paraId="2D1CA41D">
            <w:pPr>
              <w:widowControl/>
              <w:spacing w:line="360" w:lineRule="auto"/>
              <w:jc w:val="left"/>
              <w:rPr>
                <w:rFonts w:hint="eastAsia" w:ascii="宋体" w:hAnsi="宋体" w:eastAsia="宋体" w:cs="宋体"/>
                <w:b/>
                <w:kern w:val="0"/>
                <w:sz w:val="24"/>
                <w:szCs w:val="21"/>
              </w:rPr>
            </w:pPr>
            <w:r>
              <w:rPr>
                <w:rFonts w:hint="eastAsia" w:ascii="宋体" w:hAnsi="宋体" w:eastAsia="宋体" w:cs="宋体"/>
                <w:b/>
                <w:kern w:val="0"/>
                <w:sz w:val="24"/>
                <w:szCs w:val="21"/>
              </w:rPr>
              <w:t>开户银行：中国银行深圳上步支行</w:t>
            </w:r>
          </w:p>
        </w:tc>
        <w:tc>
          <w:tcPr>
            <w:tcW w:w="4434" w:type="dxa"/>
            <w:shd w:val="clear" w:color="auto" w:fill="auto"/>
          </w:tcPr>
          <w:p w14:paraId="6CC23535">
            <w:pPr>
              <w:widowControl/>
              <w:spacing w:line="360" w:lineRule="auto"/>
              <w:jc w:val="left"/>
              <w:rPr>
                <w:rFonts w:hint="eastAsia" w:ascii="宋体" w:hAnsi="宋体" w:eastAsia="宋体" w:cs="宋体"/>
                <w:b/>
                <w:kern w:val="0"/>
                <w:sz w:val="24"/>
                <w:szCs w:val="21"/>
              </w:rPr>
            </w:pPr>
            <w:r>
              <w:rPr>
                <w:rFonts w:hint="eastAsia" w:ascii="宋体" w:hAnsi="宋体" w:eastAsia="宋体" w:cs="宋体"/>
                <w:b/>
                <w:kern w:val="0"/>
                <w:sz w:val="24"/>
                <w:szCs w:val="21"/>
              </w:rPr>
              <w:t>开户银行：</w:t>
            </w:r>
          </w:p>
        </w:tc>
      </w:tr>
      <w:tr w14:paraId="01FC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9" w:type="dxa"/>
            <w:shd w:val="clear" w:color="auto" w:fill="auto"/>
          </w:tcPr>
          <w:p w14:paraId="1A190B6B">
            <w:pPr>
              <w:widowControl/>
              <w:spacing w:line="360" w:lineRule="auto"/>
              <w:jc w:val="left"/>
              <w:rPr>
                <w:rFonts w:hint="eastAsia" w:ascii="宋体" w:hAnsi="宋体" w:eastAsia="宋体" w:cs="宋体"/>
                <w:b/>
                <w:kern w:val="0"/>
                <w:sz w:val="24"/>
                <w:szCs w:val="21"/>
              </w:rPr>
            </w:pPr>
            <w:r>
              <w:rPr>
                <w:rFonts w:hint="eastAsia" w:ascii="宋体" w:hAnsi="宋体" w:eastAsia="宋体" w:cs="宋体"/>
                <w:b/>
                <w:kern w:val="0"/>
                <w:sz w:val="24"/>
                <w:szCs w:val="21"/>
              </w:rPr>
              <w:t>账号：775772882551</w:t>
            </w:r>
          </w:p>
        </w:tc>
        <w:tc>
          <w:tcPr>
            <w:tcW w:w="4434" w:type="dxa"/>
            <w:shd w:val="clear" w:color="auto" w:fill="auto"/>
          </w:tcPr>
          <w:p w14:paraId="6B043EA0">
            <w:pPr>
              <w:widowControl/>
              <w:spacing w:line="360" w:lineRule="auto"/>
              <w:jc w:val="left"/>
              <w:rPr>
                <w:rFonts w:hint="eastAsia" w:ascii="宋体" w:hAnsi="宋体" w:eastAsia="宋体" w:cs="宋体"/>
                <w:b/>
                <w:kern w:val="0"/>
                <w:sz w:val="24"/>
                <w:szCs w:val="21"/>
              </w:rPr>
            </w:pPr>
            <w:r>
              <w:rPr>
                <w:rFonts w:hint="eastAsia" w:ascii="宋体" w:hAnsi="宋体" w:eastAsia="宋体" w:cs="宋体"/>
                <w:b/>
                <w:kern w:val="0"/>
                <w:sz w:val="24"/>
                <w:szCs w:val="21"/>
              </w:rPr>
              <w:t>账号：</w:t>
            </w:r>
          </w:p>
        </w:tc>
      </w:tr>
    </w:tbl>
    <w:p w14:paraId="5DB65276">
      <w:pPr>
        <w:widowControl/>
        <w:adjustRightInd w:val="0"/>
        <w:snapToGrid w:val="0"/>
        <w:spacing w:line="360" w:lineRule="auto"/>
        <w:ind w:firstLine="482" w:firstLineChars="200"/>
        <w:rPr>
          <w:rFonts w:hint="eastAsia" w:ascii="宋体" w:hAnsi="宋体" w:eastAsia="宋体" w:cs="宋体"/>
          <w:b/>
          <w:bCs/>
          <w:sz w:val="24"/>
          <w:szCs w:val="24"/>
          <w:lang w:bidi="ar"/>
        </w:rPr>
      </w:pPr>
      <w:r>
        <w:rPr>
          <w:rFonts w:hint="eastAsia" w:ascii="宋体" w:hAnsi="宋体" w:eastAsia="宋体" w:cs="宋体"/>
          <w:b/>
          <w:bCs/>
          <w:sz w:val="24"/>
          <w:szCs w:val="24"/>
          <w:lang w:bidi="ar"/>
        </w:rPr>
        <w:br w:type="page"/>
      </w:r>
    </w:p>
    <w:bookmarkEnd w:id="6"/>
    <w:bookmarkEnd w:id="7"/>
    <w:bookmarkEnd w:id="8"/>
    <w:bookmarkEnd w:id="9"/>
    <w:p w14:paraId="6EF08D5B">
      <w:pPr>
        <w:pStyle w:val="19"/>
        <w:keepNext/>
        <w:keepLines/>
        <w:numPr>
          <w:ilvl w:val="0"/>
          <w:numId w:val="3"/>
        </w:numPr>
        <w:tabs>
          <w:tab w:val="left" w:pos="4032"/>
        </w:tabs>
        <w:spacing w:before="340" w:after="330" w:line="360" w:lineRule="auto"/>
        <w:ind w:firstLineChars="0"/>
        <w:outlineLvl w:val="0"/>
        <w:rPr>
          <w:rFonts w:hint="eastAsia" w:ascii="宋体" w:hAnsi="宋体" w:cs="宋体"/>
          <w:b/>
          <w:snapToGrid w:val="0"/>
          <w:sz w:val="30"/>
          <w:szCs w:val="30"/>
          <w:lang w:val="zh-CN"/>
        </w:rPr>
      </w:pPr>
      <w:bookmarkStart w:id="10" w:name="_Toc23975"/>
      <w:bookmarkStart w:id="11" w:name="_Toc77065491"/>
      <w:bookmarkStart w:id="12" w:name="_Toc22220714"/>
      <w:r>
        <w:rPr>
          <w:rFonts w:hint="eastAsia" w:ascii="宋体" w:hAnsi="宋体" w:cs="宋体"/>
          <w:b/>
          <w:snapToGrid w:val="0"/>
          <w:sz w:val="30"/>
          <w:szCs w:val="30"/>
          <w:lang w:val="zh-CN"/>
        </w:rPr>
        <w:t>《项目开发建设廉洁协议书》</w:t>
      </w:r>
      <w:bookmarkEnd w:id="10"/>
      <w:bookmarkEnd w:id="11"/>
      <w:bookmarkEnd w:id="12"/>
    </w:p>
    <w:p w14:paraId="10087553">
      <w:pPr>
        <w:adjustRightInd w:val="0"/>
        <w:snapToGrid w:val="0"/>
        <w:spacing w:line="360" w:lineRule="auto"/>
        <w:ind w:firstLine="602" w:firstLineChars="200"/>
        <w:jc w:val="center"/>
        <w:rPr>
          <w:rFonts w:hint="eastAsia" w:ascii="宋体" w:hAnsi="宋体" w:eastAsia="宋体" w:cs="宋体"/>
          <w:b/>
          <w:sz w:val="30"/>
          <w:szCs w:val="30"/>
        </w:rPr>
      </w:pPr>
      <w:r>
        <w:rPr>
          <w:rFonts w:hint="eastAsia" w:ascii="宋体" w:hAnsi="宋体" w:eastAsia="宋体" w:cs="宋体"/>
          <w:b/>
          <w:sz w:val="30"/>
          <w:szCs w:val="30"/>
        </w:rPr>
        <w:t>项目开发建设廉洁协议书</w:t>
      </w:r>
    </w:p>
    <w:p w14:paraId="0A26C3D6">
      <w:pPr>
        <w:adjustRightInd w:val="0"/>
        <w:snapToGrid w:val="0"/>
        <w:spacing w:line="360" w:lineRule="auto"/>
        <w:ind w:firstLine="422" w:firstLineChars="200"/>
        <w:rPr>
          <w:rFonts w:hint="eastAsia" w:ascii="宋体" w:hAnsi="宋体" w:eastAsia="宋体" w:cs="宋体"/>
          <w:b/>
        </w:rPr>
      </w:pPr>
    </w:p>
    <w:p w14:paraId="6A9130CC">
      <w:pPr>
        <w:adjustRightInd w:val="0"/>
        <w:snapToGrid w:val="0"/>
        <w:spacing w:line="360" w:lineRule="auto"/>
        <w:ind w:firstLine="420" w:firstLineChars="200"/>
        <w:rPr>
          <w:rFonts w:hint="eastAsia" w:ascii="宋体" w:hAnsi="宋体" w:eastAsia="宋体" w:cs="宋体"/>
        </w:rPr>
      </w:pPr>
      <w:r>
        <w:rPr>
          <w:rFonts w:ascii="宋体" w:hAnsi="宋体" w:eastAsia="宋体" w:cs="宋体"/>
        </w:rPr>
        <w:t>甲方</w:t>
      </w:r>
      <w:r>
        <w:rPr>
          <w:rFonts w:hint="eastAsia" w:ascii="宋体" w:hAnsi="宋体" w:eastAsia="宋体" w:cs="宋体"/>
        </w:rPr>
        <w:t>(全称)：</w:t>
      </w:r>
      <w:r>
        <w:rPr>
          <w:rFonts w:ascii="宋体" w:hAnsi="宋体" w:eastAsia="宋体" w:cs="宋体"/>
          <w:u w:val="single"/>
        </w:rPr>
        <w:t>深圳创科发展有限公司</w:t>
      </w:r>
    </w:p>
    <w:p w14:paraId="551BA170">
      <w:pPr>
        <w:adjustRightInd w:val="0"/>
        <w:snapToGrid w:val="0"/>
        <w:spacing w:line="360" w:lineRule="auto"/>
        <w:ind w:firstLine="420" w:firstLineChars="200"/>
        <w:rPr>
          <w:rFonts w:hint="eastAsia" w:ascii="宋体" w:hAnsi="宋体" w:eastAsia="宋体" w:cs="宋体"/>
          <w:u w:val="single"/>
        </w:rPr>
      </w:pPr>
      <w:r>
        <w:rPr>
          <w:rFonts w:hint="eastAsia" w:ascii="宋体" w:hAnsi="宋体" w:eastAsia="宋体" w:cs="宋体"/>
        </w:rPr>
        <w:t>承包人(全称)：</w:t>
      </w:r>
    </w:p>
    <w:p w14:paraId="4A5D7756">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为加强廉洁建设，规范双方的活动，防止发生各种谋取不正当利益的违法违纪行为，保护双方的合法权益，保证国有资产的安全和有效使用，根据国家有关规定和廉洁从业的各项要求，双方签订本廉洁协议。</w:t>
      </w:r>
    </w:p>
    <w:p w14:paraId="53D57357">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第一条 双方的权利和责任</w:t>
      </w:r>
    </w:p>
    <w:p w14:paraId="44CDA33F">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（一）</w:t>
      </w:r>
      <w:r>
        <w:rPr>
          <w:rFonts w:hint="eastAsia" w:ascii="宋体" w:hAnsi="宋体" w:eastAsia="宋体" w:cs="宋体"/>
        </w:rPr>
        <w:t>严格遵守国家法律法规、廉洁从业规定以及相关行业规定。</w:t>
      </w:r>
    </w:p>
    <w:p w14:paraId="3FCF4884">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（二）</w:t>
      </w:r>
      <w:r>
        <w:rPr>
          <w:rFonts w:hint="eastAsia" w:ascii="宋体" w:hAnsi="宋体" w:eastAsia="宋体" w:cs="宋体"/>
        </w:rPr>
        <w:t>严格执行一切合同文件及本协议条款，自觉履行权利和责任。</w:t>
      </w:r>
    </w:p>
    <w:p w14:paraId="0EFA821A">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（三）</w:t>
      </w:r>
      <w:r>
        <w:rPr>
          <w:rFonts w:hint="eastAsia" w:ascii="宋体" w:hAnsi="宋体" w:eastAsia="宋体" w:cs="宋体"/>
        </w:rPr>
        <w:t>双方的业务活动坚持公平、公开、公正和诚信的原则（法律法规另有规定除外），不得损害国家、集体和对方利益，不得违反项目开发建设管理的有关规章制度。</w:t>
      </w:r>
    </w:p>
    <w:p w14:paraId="0B5A01BE">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（四）</w:t>
      </w:r>
      <w:r>
        <w:rPr>
          <w:rFonts w:hint="eastAsia" w:ascii="宋体" w:hAnsi="宋体" w:eastAsia="宋体" w:cs="宋体"/>
        </w:rPr>
        <w:t>建立健全廉洁制度，开展廉洁教育，公布监督部门和电话，监督并认真查处违纪违法行为。</w:t>
      </w:r>
    </w:p>
    <w:p w14:paraId="77AC9CC9">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（五）</w:t>
      </w:r>
      <w:r>
        <w:rPr>
          <w:rFonts w:hint="eastAsia" w:ascii="宋体" w:hAnsi="宋体" w:eastAsia="宋体" w:cs="宋体"/>
        </w:rPr>
        <w:t>发现对方在业务活动中有违反本协议的行为倾向，有权利和义务及时给予提醒和纠正。</w:t>
      </w:r>
    </w:p>
    <w:p w14:paraId="2E2D3E09">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（六）</w:t>
      </w:r>
      <w:r>
        <w:rPr>
          <w:rFonts w:hint="eastAsia" w:ascii="宋体" w:hAnsi="宋体" w:eastAsia="宋体" w:cs="宋体"/>
        </w:rPr>
        <w:t>发现对方有违反本协议的行为，应及时向指定的监督部门举报控告，也有权向纪检监察或司法机关举报控告。</w:t>
      </w:r>
    </w:p>
    <w:p w14:paraId="5D5F3EC9">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（七）</w:t>
      </w:r>
      <w:r>
        <w:rPr>
          <w:rFonts w:hint="eastAsia" w:ascii="宋体" w:hAnsi="宋体" w:eastAsia="宋体" w:cs="宋体"/>
        </w:rPr>
        <w:t>双方应互相配合，积极开展廉洁教育、学习和宣传活动，有配合对方履行本协议的责任。</w:t>
      </w:r>
    </w:p>
    <w:p w14:paraId="78B0680A">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（八）</w:t>
      </w:r>
      <w:r>
        <w:rPr>
          <w:rFonts w:hint="eastAsia" w:ascii="宋体" w:hAnsi="宋体" w:eastAsia="宋体" w:cs="宋体"/>
        </w:rPr>
        <w:t>一方有不履行或不完全履行廉洁宣传教育责任的，另一方有权利和责任要求对方履行和督促改进。</w:t>
      </w:r>
    </w:p>
    <w:p w14:paraId="59D2FEB0">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 xml:space="preserve">第二条 </w:t>
      </w:r>
      <w:r>
        <w:rPr>
          <w:rFonts w:ascii="宋体" w:hAnsi="宋体" w:eastAsia="宋体" w:cs="宋体"/>
        </w:rPr>
        <w:t>甲方</w:t>
      </w:r>
      <w:r>
        <w:rPr>
          <w:rFonts w:hint="eastAsia" w:ascii="宋体" w:hAnsi="宋体" w:eastAsia="宋体" w:cs="宋体"/>
        </w:rPr>
        <w:t>的责任</w:t>
      </w:r>
    </w:p>
    <w:p w14:paraId="32CB6A22">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（一）</w:t>
      </w:r>
      <w:r>
        <w:rPr>
          <w:rFonts w:ascii="宋体" w:hAnsi="宋体" w:eastAsia="宋体" w:cs="宋体"/>
        </w:rPr>
        <w:t>甲方</w:t>
      </w:r>
      <w:r>
        <w:rPr>
          <w:rFonts w:hint="eastAsia" w:ascii="宋体" w:hAnsi="宋体" w:eastAsia="宋体" w:cs="宋体"/>
        </w:rPr>
        <w:t>全面负责项目开发建设的进度、质量和资金管理，认真履行合同规定的</w:t>
      </w:r>
      <w:r>
        <w:rPr>
          <w:rFonts w:ascii="宋体" w:hAnsi="宋体" w:eastAsia="宋体" w:cs="宋体"/>
        </w:rPr>
        <w:t>甲方</w:t>
      </w:r>
      <w:r>
        <w:rPr>
          <w:rFonts w:hint="eastAsia" w:ascii="宋体" w:hAnsi="宋体" w:eastAsia="宋体" w:cs="宋体"/>
        </w:rPr>
        <w:t>责任。</w:t>
      </w:r>
    </w:p>
    <w:p w14:paraId="0455EE3C">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（二）</w:t>
      </w:r>
      <w:r>
        <w:rPr>
          <w:rFonts w:ascii="宋体" w:hAnsi="宋体" w:eastAsia="宋体" w:cs="宋体"/>
        </w:rPr>
        <w:t>甲方</w:t>
      </w:r>
      <w:r>
        <w:rPr>
          <w:rFonts w:hint="eastAsia" w:ascii="宋体" w:hAnsi="宋体" w:eastAsia="宋体" w:cs="宋体"/>
        </w:rPr>
        <w:t>人员不得违反规定变更规划设计、材料设备供应或改变项目开发建设的投资规模、量等；不得违反规定与项目承担单位商谈项目施工、资金拨付、工程验收、工程质量处理、工程决算等事项，也不得违反规定干预、决定。</w:t>
      </w:r>
    </w:p>
    <w:p w14:paraId="53D15915">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（三）</w:t>
      </w:r>
      <w:r>
        <w:rPr>
          <w:rFonts w:ascii="宋体" w:hAnsi="宋体" w:eastAsia="宋体" w:cs="宋体"/>
        </w:rPr>
        <w:t>甲方</w:t>
      </w:r>
      <w:r>
        <w:rPr>
          <w:rFonts w:hint="eastAsia" w:ascii="宋体" w:hAnsi="宋体" w:eastAsia="宋体" w:cs="宋体"/>
        </w:rPr>
        <w:t>人员不得要求项目承担单位购买合同约定以外的商品、物品、设备和服务等。</w:t>
      </w:r>
    </w:p>
    <w:p w14:paraId="6D5ECABC">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（四）</w:t>
      </w:r>
      <w:r>
        <w:rPr>
          <w:rFonts w:ascii="宋体" w:hAnsi="宋体" w:eastAsia="宋体" w:cs="宋体"/>
        </w:rPr>
        <w:t>甲方</w:t>
      </w:r>
      <w:r>
        <w:rPr>
          <w:rFonts w:hint="eastAsia" w:ascii="宋体" w:hAnsi="宋体" w:eastAsia="宋体" w:cs="宋体"/>
        </w:rPr>
        <w:t>人员不得索要、接受项目承担单位违反法规赠送的现金、有价证券、支付凭证或股份等各种财物；不得索要、接受项目承担单位违反法规提供的通讯工具、交通工具、高档办公用品。</w:t>
      </w:r>
    </w:p>
    <w:p w14:paraId="75482954">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（五）</w:t>
      </w:r>
      <w:r>
        <w:rPr>
          <w:rFonts w:ascii="宋体" w:hAnsi="宋体" w:eastAsia="宋体" w:cs="宋体"/>
        </w:rPr>
        <w:t>甲方</w:t>
      </w:r>
      <w:r>
        <w:rPr>
          <w:rFonts w:hint="eastAsia" w:ascii="宋体" w:hAnsi="宋体" w:eastAsia="宋体" w:cs="宋体"/>
        </w:rPr>
        <w:t>人员不得索要、接受承包人对个人或配偶子女等亲属亲友的馈赠、赞助、费用报销、装修、旅游、疗养、健身以及各种高消费娱乐等活动。</w:t>
      </w:r>
    </w:p>
    <w:p w14:paraId="083EC75A">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（六）</w:t>
      </w:r>
      <w:r>
        <w:rPr>
          <w:rFonts w:ascii="宋体" w:hAnsi="宋体" w:eastAsia="宋体" w:cs="宋体"/>
        </w:rPr>
        <w:t>甲方</w:t>
      </w:r>
      <w:r>
        <w:rPr>
          <w:rFonts w:hint="eastAsia" w:ascii="宋体" w:hAnsi="宋体" w:eastAsia="宋体" w:cs="宋体"/>
        </w:rPr>
        <w:t>人员不得索要、接受项目承担单位为本人配偶子女等亲属亲友提供工作的安排、照顾和便利等；本人及配偶子女等亲属亲友不得从事与项目承担单位有关的工程材料设备供应、工程分包与施工、劳务等经济活动。</w:t>
      </w:r>
    </w:p>
    <w:p w14:paraId="70667FF3">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第三条 承包人的责任</w:t>
      </w:r>
    </w:p>
    <w:p w14:paraId="1D4A9494">
      <w:pPr>
        <w:adjustRightInd w:val="0"/>
        <w:snapToGrid w:val="0"/>
        <w:spacing w:line="360" w:lineRule="auto"/>
        <w:ind w:firstLine="422" w:firstLineChars="200"/>
        <w:rPr>
          <w:rFonts w:hint="eastAsia" w:ascii="宋体" w:hAnsi="宋体" w:eastAsia="宋体" w:cs="宋体"/>
          <w:bCs/>
        </w:rPr>
      </w:pPr>
      <w:r>
        <w:rPr>
          <w:rFonts w:hint="eastAsia" w:ascii="宋体" w:hAnsi="宋体" w:eastAsia="宋体" w:cs="宋体"/>
          <w:b/>
          <w:bCs/>
        </w:rPr>
        <w:t>（一）</w:t>
      </w:r>
      <w:r>
        <w:rPr>
          <w:rFonts w:hint="eastAsia" w:ascii="宋体" w:hAnsi="宋体" w:eastAsia="宋体" w:cs="宋体"/>
          <w:bCs/>
        </w:rPr>
        <w:t>承包人作为项目的责任主体，严格执行工程建设法律、法规和强制性标准与规范，依照合同负责承担</w:t>
      </w:r>
      <w:r>
        <w:rPr>
          <w:rFonts w:hint="eastAsia" w:ascii="宋体" w:hAnsi="宋体" w:eastAsia="宋体" w:cs="宋体"/>
        </w:rPr>
        <w:t>项目开发建设</w:t>
      </w:r>
      <w:r>
        <w:rPr>
          <w:rFonts w:hint="eastAsia" w:ascii="宋体" w:hAnsi="宋体" w:eastAsia="宋体" w:cs="宋体"/>
          <w:bCs/>
        </w:rPr>
        <w:t>工程的进度、质量、资金控制。</w:t>
      </w:r>
    </w:p>
    <w:p w14:paraId="3D888A85">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（二）</w:t>
      </w:r>
      <w:r>
        <w:rPr>
          <w:rFonts w:hint="eastAsia" w:ascii="宋体" w:hAnsi="宋体" w:eastAsia="宋体" w:cs="宋体"/>
        </w:rPr>
        <w:t>承包人不得违反规定变更规划设计、材料设备供应或改变项目开发建设的投资规模、量等；不得违反规定与建设单位或</w:t>
      </w:r>
      <w:r>
        <w:rPr>
          <w:rFonts w:ascii="宋体" w:hAnsi="宋体" w:eastAsia="宋体" w:cs="宋体"/>
        </w:rPr>
        <w:t>甲方</w:t>
      </w:r>
      <w:r>
        <w:rPr>
          <w:rFonts w:hint="eastAsia" w:ascii="宋体" w:hAnsi="宋体" w:eastAsia="宋体" w:cs="宋体"/>
        </w:rPr>
        <w:t>商谈项目、资金拨付、工程验收、工程质量处理、工程决算等事项，也不得违反规定干预、决定。</w:t>
      </w:r>
    </w:p>
    <w:p w14:paraId="00FCDCA0">
      <w:pPr>
        <w:adjustRightInd w:val="0"/>
        <w:snapToGrid w:val="0"/>
        <w:spacing w:line="360" w:lineRule="auto"/>
        <w:ind w:firstLine="422" w:firstLineChars="200"/>
        <w:rPr>
          <w:rFonts w:hint="eastAsia" w:ascii="宋体" w:hAnsi="宋体" w:eastAsia="宋体" w:cs="宋体"/>
          <w:b/>
        </w:rPr>
      </w:pPr>
      <w:r>
        <w:rPr>
          <w:rFonts w:hint="eastAsia" w:ascii="宋体" w:hAnsi="宋体" w:eastAsia="宋体" w:cs="宋体"/>
          <w:b/>
        </w:rPr>
        <w:t>（三）</w:t>
      </w:r>
      <w:r>
        <w:rPr>
          <w:rFonts w:hint="eastAsia" w:ascii="宋体" w:hAnsi="宋体" w:eastAsia="宋体" w:cs="宋体"/>
        </w:rPr>
        <w:t>承包人不得接受建设单位或</w:t>
      </w:r>
      <w:r>
        <w:rPr>
          <w:rFonts w:ascii="宋体" w:hAnsi="宋体" w:eastAsia="宋体" w:cs="宋体"/>
        </w:rPr>
        <w:t>甲方</w:t>
      </w:r>
      <w:r>
        <w:rPr>
          <w:rFonts w:hint="eastAsia" w:ascii="宋体" w:hAnsi="宋体" w:eastAsia="宋体" w:cs="宋体"/>
        </w:rPr>
        <w:t>要求购买合同约定以外的商品、物品、设备和服务等要求。</w:t>
      </w:r>
    </w:p>
    <w:p w14:paraId="51258C0B">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（四）</w:t>
      </w:r>
      <w:r>
        <w:rPr>
          <w:rFonts w:hint="eastAsia" w:ascii="宋体" w:hAnsi="宋体" w:eastAsia="宋体" w:cs="宋体"/>
        </w:rPr>
        <w:t>承包人不得以任何理由违反法规向</w:t>
      </w:r>
      <w:r>
        <w:rPr>
          <w:rFonts w:ascii="宋体" w:hAnsi="宋体" w:eastAsia="宋体" w:cs="宋体"/>
        </w:rPr>
        <w:t>甲方</w:t>
      </w:r>
      <w:r>
        <w:rPr>
          <w:rFonts w:hint="eastAsia" w:ascii="宋体" w:hAnsi="宋体" w:eastAsia="宋体" w:cs="宋体"/>
        </w:rPr>
        <w:t>人员赠送现金、有价证券、支付凭证或股份等各种财物；不得违反法规向</w:t>
      </w:r>
      <w:r>
        <w:rPr>
          <w:rFonts w:ascii="宋体" w:hAnsi="宋体" w:eastAsia="宋体" w:cs="宋体"/>
        </w:rPr>
        <w:t>甲方</w:t>
      </w:r>
      <w:r>
        <w:rPr>
          <w:rFonts w:hint="eastAsia" w:ascii="宋体" w:hAnsi="宋体" w:eastAsia="宋体" w:cs="宋体"/>
        </w:rPr>
        <w:t>人员提供通讯工具、交通工具、高档办公用品等。</w:t>
      </w:r>
    </w:p>
    <w:p w14:paraId="09041777">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（五）</w:t>
      </w:r>
      <w:r>
        <w:rPr>
          <w:rFonts w:hint="eastAsia" w:ascii="宋体" w:hAnsi="宋体" w:eastAsia="宋体" w:cs="宋体"/>
        </w:rPr>
        <w:t>承包人不得对</w:t>
      </w:r>
      <w:r>
        <w:rPr>
          <w:rFonts w:ascii="宋体" w:hAnsi="宋体" w:eastAsia="宋体" w:cs="宋体"/>
        </w:rPr>
        <w:t>甲方</w:t>
      </w:r>
      <w:r>
        <w:rPr>
          <w:rFonts w:hint="eastAsia" w:ascii="宋体" w:hAnsi="宋体" w:eastAsia="宋体" w:cs="宋体"/>
        </w:rPr>
        <w:t>人员个人或其配偶子女等亲属亲友提供馈赠、赞助、费用报销、装修、旅游、疗养、健身以及各种高消费娱乐等活动。</w:t>
      </w:r>
    </w:p>
    <w:p w14:paraId="6ADC877C">
      <w:pPr>
        <w:adjustRightInd w:val="0"/>
        <w:snapToGrid w:val="0"/>
        <w:spacing w:line="360" w:lineRule="auto"/>
        <w:ind w:firstLine="422" w:firstLineChars="200"/>
        <w:rPr>
          <w:rFonts w:hint="eastAsia" w:ascii="宋体" w:hAnsi="宋体" w:eastAsia="宋体" w:cs="宋体"/>
        </w:rPr>
      </w:pPr>
      <w:r>
        <w:rPr>
          <w:rFonts w:hint="eastAsia" w:ascii="宋体" w:hAnsi="宋体" w:eastAsia="宋体" w:cs="宋体"/>
          <w:b/>
        </w:rPr>
        <w:t>（六）</w:t>
      </w:r>
      <w:r>
        <w:rPr>
          <w:rFonts w:hint="eastAsia" w:ascii="宋体" w:hAnsi="宋体" w:eastAsia="宋体" w:cs="宋体"/>
        </w:rPr>
        <w:t>承包人不得为</w:t>
      </w:r>
      <w:r>
        <w:rPr>
          <w:rFonts w:ascii="宋体" w:hAnsi="宋体" w:eastAsia="宋体" w:cs="宋体"/>
        </w:rPr>
        <w:t>甲方</w:t>
      </w:r>
      <w:r>
        <w:rPr>
          <w:rFonts w:hint="eastAsia" w:ascii="宋体" w:hAnsi="宋体" w:eastAsia="宋体" w:cs="宋体"/>
        </w:rPr>
        <w:t>人员个人的配偶子女等亲属亲友提供工作的安排、照顾和便利等；不得接受</w:t>
      </w:r>
      <w:r>
        <w:rPr>
          <w:rFonts w:ascii="宋体" w:hAnsi="宋体" w:eastAsia="宋体" w:cs="宋体"/>
        </w:rPr>
        <w:t>甲方</w:t>
      </w:r>
      <w:r>
        <w:rPr>
          <w:rFonts w:hint="eastAsia" w:ascii="宋体" w:hAnsi="宋体" w:eastAsia="宋体" w:cs="宋体"/>
        </w:rPr>
        <w:t>人员个人及配偶子女等亲属亲友从事与项目承担单位有关的工程材料设备供应、工程分包与施工、劳务等经济活动的要求。</w:t>
      </w:r>
    </w:p>
    <w:p w14:paraId="73A18C94">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第四条 违约责任</w:t>
      </w:r>
    </w:p>
    <w:p w14:paraId="70996EFD">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（一）</w:t>
      </w:r>
      <w:r>
        <w:rPr>
          <w:rFonts w:ascii="宋体" w:hAnsi="宋体" w:eastAsia="宋体" w:cs="宋体"/>
        </w:rPr>
        <w:t>甲方</w:t>
      </w:r>
      <w:r>
        <w:rPr>
          <w:rFonts w:hint="eastAsia" w:ascii="宋体" w:hAnsi="宋体" w:eastAsia="宋体" w:cs="宋体"/>
        </w:rPr>
        <w:t>人员违反本协议第一条和第二条规定的，由</w:t>
      </w:r>
      <w:r>
        <w:rPr>
          <w:rFonts w:ascii="宋体" w:hAnsi="宋体" w:eastAsia="宋体" w:cs="宋体"/>
        </w:rPr>
        <w:t>甲方</w:t>
      </w:r>
      <w:r>
        <w:rPr>
          <w:rFonts w:hint="eastAsia" w:ascii="宋体" w:hAnsi="宋体" w:eastAsia="宋体" w:cs="宋体"/>
        </w:rPr>
        <w:t>按照管理权限，依据有关法律和规定给予党纪、政纪处分或组织处理，涉嫌犯罪的，移交司法机关追究刑事责任；给承包人造成经济损失的，应予赔偿。</w:t>
      </w:r>
    </w:p>
    <w:p w14:paraId="11A2D7EE">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（二）承包人人员违反本协议第一条和第三条规定的，由承包人按照管理权限，依据有关法律和规定给予党纪、政纪处分或组织处理，涉嫌犯罪的，移交司法机关追究刑事责任；给</w:t>
      </w:r>
      <w:r>
        <w:rPr>
          <w:rFonts w:ascii="宋体" w:hAnsi="宋体" w:eastAsia="宋体" w:cs="宋体"/>
        </w:rPr>
        <w:t>甲方</w:t>
      </w:r>
      <w:r>
        <w:rPr>
          <w:rFonts w:hint="eastAsia" w:ascii="宋体" w:hAnsi="宋体" w:eastAsia="宋体" w:cs="宋体"/>
        </w:rPr>
        <w:t>造成经济损失的，应予赔偿。</w:t>
      </w:r>
    </w:p>
    <w:p w14:paraId="1B677166">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第五条 监督与联络</w:t>
      </w:r>
    </w:p>
    <w:p w14:paraId="45B86691">
      <w:pPr>
        <w:adjustRightInd w:val="0"/>
        <w:snapToGrid w:val="0"/>
        <w:spacing w:line="360" w:lineRule="auto"/>
        <w:ind w:firstLine="420" w:firstLineChars="200"/>
        <w:rPr>
          <w:rFonts w:hint="eastAsia" w:ascii="宋体" w:hAnsi="宋体" w:eastAsia="宋体" w:cs="宋体"/>
          <w:bCs/>
          <w:u w:val="single"/>
        </w:rPr>
      </w:pPr>
      <w:r>
        <w:rPr>
          <w:rFonts w:ascii="宋体" w:hAnsi="宋体" w:eastAsia="宋体" w:cs="宋体"/>
          <w:bCs/>
        </w:rPr>
        <w:t>甲方</w:t>
      </w:r>
      <w:r>
        <w:rPr>
          <w:rFonts w:hint="eastAsia" w:ascii="宋体" w:hAnsi="宋体" w:eastAsia="宋体" w:cs="宋体"/>
          <w:bCs/>
        </w:rPr>
        <w:t>指定由</w:t>
      </w:r>
      <w:r>
        <w:rPr>
          <w:rFonts w:hint="eastAsia" w:ascii="宋体" w:hAnsi="宋体" w:eastAsia="宋体" w:cs="宋体"/>
          <w:u w:val="single"/>
        </w:rPr>
        <w:t>风险审计部</w:t>
      </w:r>
      <w:r>
        <w:rPr>
          <w:rFonts w:hint="eastAsia" w:ascii="宋体" w:hAnsi="宋体" w:eastAsia="宋体" w:cs="宋体"/>
          <w:bCs/>
        </w:rPr>
        <w:t>作为</w:t>
      </w:r>
      <w:r>
        <w:rPr>
          <w:rFonts w:ascii="宋体" w:hAnsi="宋体" w:eastAsia="宋体" w:cs="宋体"/>
          <w:bCs/>
        </w:rPr>
        <w:t>甲方</w:t>
      </w:r>
      <w:r>
        <w:rPr>
          <w:rFonts w:hint="eastAsia" w:ascii="宋体" w:hAnsi="宋体" w:eastAsia="宋体" w:cs="宋体"/>
          <w:bCs/>
        </w:rPr>
        <w:t>执行本协议的监督部门，监督电话：</w:t>
      </w:r>
      <w:r>
        <w:rPr>
          <w:rFonts w:hint="eastAsia" w:ascii="宋体" w:hAnsi="宋体" w:eastAsia="宋体" w:cs="宋体"/>
          <w:u w:val="single"/>
        </w:rPr>
        <w:t>0755-88898696</w:t>
      </w:r>
      <w:r>
        <w:rPr>
          <w:rFonts w:hint="eastAsia" w:ascii="宋体" w:hAnsi="宋体" w:eastAsia="宋体" w:cs="宋体"/>
          <w:bCs/>
        </w:rPr>
        <w:t>（办公时间），指定</w:t>
      </w:r>
      <w:r>
        <w:rPr>
          <w:rFonts w:hint="eastAsia" w:ascii="宋体" w:hAnsi="宋体" w:eastAsia="宋体" w:cs="宋体"/>
          <w:u w:val="single"/>
        </w:rPr>
        <w:t xml:space="preserve">    </w:t>
      </w:r>
      <w:r>
        <w:rPr>
          <w:rFonts w:hint="eastAsia" w:ascii="宋体" w:hAnsi="宋体" w:eastAsia="宋体" w:cs="宋体"/>
          <w:bCs/>
        </w:rPr>
        <w:t>为廉政联络员，通讯地址：</w:t>
      </w:r>
      <w:r>
        <w:rPr>
          <w:rFonts w:hint="eastAsia" w:ascii="宋体" w:hAnsi="宋体" w:eastAsia="宋体" w:cs="宋体"/>
          <w:u w:val="single"/>
        </w:rPr>
        <w:t>深圳市福田区福田保税区桃花路3号国创中心7楼</w:t>
      </w:r>
      <w:r>
        <w:rPr>
          <w:rFonts w:hint="eastAsia" w:ascii="宋体" w:hAnsi="宋体" w:eastAsia="宋体" w:cs="宋体"/>
          <w:bCs/>
        </w:rPr>
        <w:t>。</w:t>
      </w:r>
    </w:p>
    <w:p w14:paraId="6CF08871">
      <w:pPr>
        <w:ind w:firstLine="420" w:firstLineChars="200"/>
        <w:rPr>
          <w:rFonts w:hint="eastAsia" w:ascii="宋体" w:hAnsi="宋体" w:eastAsia="宋体" w:cs="宋体"/>
          <w:bCs/>
          <w:lang w:eastAsia="zh-Hans"/>
        </w:rPr>
      </w:pPr>
      <w:r>
        <w:rPr>
          <w:rFonts w:hint="eastAsia" w:ascii="宋体" w:hAnsi="宋体" w:eastAsia="宋体" w:cs="宋体"/>
          <w:bCs/>
        </w:rPr>
        <w:t>承包人指定由</w:t>
      </w:r>
      <w:r>
        <w:rPr>
          <w:rFonts w:ascii="宋体" w:hAnsi="宋体" w:eastAsia="宋体" w:cs="宋体"/>
          <w:u w:val="single"/>
        </w:rPr>
        <w:t xml:space="preserve">    </w:t>
      </w:r>
      <w:r>
        <w:rPr>
          <w:rFonts w:hint="eastAsia" w:ascii="宋体" w:hAnsi="宋体" w:eastAsia="宋体" w:cs="宋体"/>
          <w:bCs/>
        </w:rPr>
        <w:t>作为承包人执行本协议的监督部门，监督电话：</w:t>
      </w:r>
      <w:r>
        <w:rPr>
          <w:rFonts w:hint="eastAsia" w:ascii="宋体" w:hAnsi="宋体" w:eastAsia="宋体" w:cs="宋体"/>
          <w:u w:val="single"/>
        </w:rPr>
        <w:t xml:space="preserve"> </w:t>
      </w:r>
      <w:r>
        <w:rPr>
          <w:rFonts w:ascii="宋体" w:hAnsi="宋体" w:eastAsia="宋体" w:cs="宋体"/>
          <w:u w:val="single"/>
        </w:rPr>
        <w:t xml:space="preserve">     </w:t>
      </w:r>
      <w:r>
        <w:rPr>
          <w:rFonts w:hint="eastAsia" w:ascii="宋体" w:hAnsi="宋体" w:eastAsia="宋体" w:cs="宋体"/>
          <w:bCs/>
        </w:rPr>
        <w:t>（8：00-18：00），</w:t>
      </w:r>
      <w:r>
        <w:rPr>
          <w:rFonts w:hint="eastAsia" w:ascii="宋体" w:hAnsi="宋体" w:eastAsia="宋体" w:cs="宋体"/>
          <w:bCs/>
          <w:lang w:eastAsia="zh-Hans"/>
        </w:rPr>
        <w:t>指</w:t>
      </w:r>
      <w:r>
        <w:rPr>
          <w:rFonts w:hint="eastAsia" w:ascii="宋体" w:hAnsi="宋体" w:eastAsia="宋体" w:cs="宋体"/>
          <w:bCs/>
        </w:rPr>
        <w:t>定</w:t>
      </w:r>
      <w:r>
        <w:rPr>
          <w:rFonts w:hint="eastAsia" w:ascii="宋体" w:hAnsi="宋体" w:eastAsia="宋体" w:cs="宋体"/>
          <w:u w:val="single"/>
        </w:rPr>
        <w:t xml:space="preserve"> </w:t>
      </w:r>
      <w:r>
        <w:rPr>
          <w:rFonts w:ascii="宋体" w:hAnsi="宋体" w:eastAsia="宋体" w:cs="宋体"/>
          <w:u w:val="single"/>
        </w:rPr>
        <w:t xml:space="preserve">     </w:t>
      </w:r>
      <w:r>
        <w:rPr>
          <w:rFonts w:hint="eastAsia" w:ascii="宋体" w:hAnsi="宋体" w:eastAsia="宋体" w:cs="宋体"/>
          <w:bCs/>
        </w:rPr>
        <w:t>为廉政联络员，通讯地址：</w:t>
      </w:r>
      <w:r>
        <w:rPr>
          <w:rFonts w:ascii="宋体" w:hAnsi="宋体" w:eastAsia="宋体" w:cs="宋体"/>
          <w:szCs w:val="21"/>
          <w:u w:val="single"/>
        </w:rPr>
        <w:t xml:space="preserve">     </w:t>
      </w:r>
      <w:r>
        <w:rPr>
          <w:rFonts w:hint="eastAsia" w:ascii="宋体" w:hAnsi="宋体" w:eastAsia="宋体" w:cs="宋体"/>
          <w:szCs w:val="21"/>
          <w:u w:val="single"/>
          <w:lang w:eastAsia="zh-Hans"/>
        </w:rPr>
        <w:t>。</w:t>
      </w:r>
    </w:p>
    <w:p w14:paraId="42DB5580">
      <w:pPr>
        <w:spacing w:line="360" w:lineRule="auto"/>
        <w:rPr>
          <w:rFonts w:hint="eastAsia" w:ascii="宋体" w:hAnsi="宋体" w:eastAsia="宋体" w:cs="宋体"/>
          <w:bCs/>
        </w:rPr>
      </w:pPr>
      <w:r>
        <w:rPr>
          <w:rFonts w:hint="eastAsia" w:ascii="宋体" w:hAnsi="宋体" w:eastAsia="宋体" w:cs="宋体"/>
          <w:bCs/>
        </w:rPr>
        <w:br w:type="page"/>
      </w:r>
    </w:p>
    <w:p w14:paraId="4B91FED0">
      <w:pPr>
        <w:pStyle w:val="19"/>
        <w:keepNext/>
        <w:keepLines/>
        <w:numPr>
          <w:ilvl w:val="0"/>
          <w:numId w:val="3"/>
        </w:numPr>
        <w:tabs>
          <w:tab w:val="left" w:pos="4032"/>
        </w:tabs>
        <w:spacing w:before="340" w:after="330" w:line="360" w:lineRule="auto"/>
        <w:ind w:firstLineChars="0"/>
        <w:outlineLvl w:val="0"/>
        <w:rPr>
          <w:rFonts w:hint="eastAsia" w:ascii="宋体" w:hAnsi="宋体" w:cs="宋体"/>
          <w:b/>
          <w:snapToGrid w:val="0"/>
          <w:sz w:val="30"/>
          <w:szCs w:val="30"/>
          <w:lang w:val="zh-CN"/>
        </w:rPr>
      </w:pPr>
      <w:bookmarkStart w:id="13" w:name="_Toc22220715"/>
      <w:bookmarkStart w:id="14" w:name="_Toc18856"/>
      <w:bookmarkStart w:id="15" w:name="_Toc11997"/>
      <w:bookmarkStart w:id="16" w:name="_Toc8358"/>
      <w:bookmarkStart w:id="17" w:name="_Toc61957787"/>
      <w:bookmarkStart w:id="18" w:name="_Toc22220716"/>
      <w:bookmarkStart w:id="19" w:name="_Toc77065493"/>
      <w:r>
        <w:rPr>
          <w:rFonts w:hint="eastAsia" w:ascii="宋体" w:hAnsi="宋体" w:cs="宋体"/>
          <w:b/>
          <w:snapToGrid w:val="0"/>
          <w:sz w:val="30"/>
          <w:szCs w:val="30"/>
          <w:lang w:val="zh-CN"/>
        </w:rPr>
        <w:t>《安全管理协议书》</w:t>
      </w:r>
      <w:bookmarkEnd w:id="13"/>
      <w:bookmarkEnd w:id="14"/>
      <w:bookmarkEnd w:id="15"/>
      <w:bookmarkEnd w:id="16"/>
      <w:bookmarkEnd w:id="17"/>
    </w:p>
    <w:p w14:paraId="7A7F60A2">
      <w:pPr>
        <w:adjustRightInd w:val="0"/>
        <w:snapToGrid w:val="0"/>
        <w:spacing w:after="200" w:line="360" w:lineRule="auto"/>
        <w:ind w:firstLine="602" w:firstLineChars="200"/>
        <w:jc w:val="center"/>
        <w:rPr>
          <w:rFonts w:hint="eastAsia" w:ascii="宋体" w:hAnsi="宋体" w:eastAsia="宋体" w:cs="宋体"/>
          <w:b/>
          <w:sz w:val="30"/>
          <w:szCs w:val="30"/>
        </w:rPr>
      </w:pPr>
      <w:r>
        <w:rPr>
          <w:rFonts w:hint="eastAsia" w:ascii="宋体" w:hAnsi="宋体" w:eastAsia="宋体" w:cs="宋体"/>
          <w:b/>
          <w:sz w:val="30"/>
          <w:szCs w:val="30"/>
        </w:rPr>
        <w:t>安全管理协议书</w:t>
      </w:r>
    </w:p>
    <w:p w14:paraId="06982261">
      <w:pPr>
        <w:adjustRightInd w:val="0"/>
        <w:snapToGrid w:val="0"/>
        <w:spacing w:after="200" w:line="360" w:lineRule="auto"/>
        <w:ind w:firstLine="420" w:firstLineChars="200"/>
        <w:rPr>
          <w:rFonts w:hint="eastAsia" w:ascii="宋体" w:hAnsi="宋体" w:eastAsia="宋体" w:cs="宋体"/>
        </w:rPr>
      </w:pPr>
      <w:r>
        <w:rPr>
          <w:rFonts w:ascii="宋体" w:hAnsi="宋体" w:eastAsia="宋体" w:cs="宋体"/>
        </w:rPr>
        <w:t>甲方</w:t>
      </w:r>
      <w:r>
        <w:rPr>
          <w:rFonts w:hint="eastAsia" w:ascii="宋体" w:hAnsi="宋体" w:eastAsia="宋体" w:cs="宋体"/>
        </w:rPr>
        <w:t>：</w:t>
      </w:r>
      <w:r>
        <w:rPr>
          <w:rFonts w:ascii="宋体" w:hAnsi="宋体" w:eastAsia="宋体" w:cs="宋体"/>
          <w:u w:val="single"/>
        </w:rPr>
        <w:t>深圳创科发展有限公司</w:t>
      </w:r>
    </w:p>
    <w:p w14:paraId="4A1DD7A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承包人：</w:t>
      </w:r>
      <w:r>
        <w:rPr>
          <w:rFonts w:ascii="宋体" w:hAnsi="宋体" w:eastAsia="宋体" w:cs="宋体"/>
          <w:bCs/>
          <w:u w:val="single"/>
        </w:rPr>
        <w:t xml:space="preserve">      </w:t>
      </w:r>
    </w:p>
    <w:p w14:paraId="1ED10B1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本协议为</w:t>
      </w:r>
      <w:r>
        <w:rPr>
          <w:rFonts w:hint="eastAsia" w:ascii="宋体" w:hAnsi="宋体" w:eastAsia="宋体" w:cs="宋体"/>
          <w:u w:val="single"/>
        </w:rPr>
        <w:t>2024年河套壹号项目楼体幕墙发光字广告制作及安装</w:t>
      </w:r>
      <w:r>
        <w:rPr>
          <w:rFonts w:hint="eastAsia" w:ascii="宋体" w:hAnsi="宋体" w:eastAsia="宋体" w:cs="宋体"/>
        </w:rPr>
        <w:t>（项目名称，含单体工程名称）合同（以下简称：主合同）附件。</w:t>
      </w:r>
    </w:p>
    <w:p w14:paraId="348D219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一、本工程安全生产管理目标为：</w:t>
      </w:r>
    </w:p>
    <w:p w14:paraId="3C2BD87C">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（一）不发生重伤及以上的安全生产责任事故；</w:t>
      </w:r>
    </w:p>
    <w:p w14:paraId="0130F91B">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（二）不发生火灾和食物中毒事件；</w:t>
      </w:r>
    </w:p>
    <w:p w14:paraId="2B397CB4">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（三）火灾、触电等导致的轻伤以上安全生产事故发生次数为零；</w:t>
      </w:r>
    </w:p>
    <w:p w14:paraId="3DFEC31A">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（四）安全隐患及时整改率达95%以上，其中重大安全隐患及时整改率为100%；</w:t>
      </w:r>
    </w:p>
    <w:p w14:paraId="5D86B920">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（五）特种作业人员持证上岗率达100%；</w:t>
      </w:r>
    </w:p>
    <w:p w14:paraId="20966268">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（六）人员进场安全教育培训率达100%；</w:t>
      </w:r>
    </w:p>
    <w:p w14:paraId="3A15901D">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（七）安全管理人员到位率达100%；</w:t>
      </w:r>
    </w:p>
    <w:p w14:paraId="02410C6D">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（八）意外伤害和伤亡保险、建筑工程一切险、安装工程一切险、第三者责任险购买率达100%。</w:t>
      </w:r>
    </w:p>
    <w:p w14:paraId="4ED43D1B">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二、</w:t>
      </w:r>
      <w:r>
        <w:rPr>
          <w:rFonts w:ascii="宋体" w:hAnsi="宋体" w:eastAsia="宋体" w:cs="宋体"/>
        </w:rPr>
        <w:t>甲方</w:t>
      </w:r>
      <w:r>
        <w:rPr>
          <w:rFonts w:hint="eastAsia" w:ascii="宋体" w:hAnsi="宋体" w:eastAsia="宋体" w:cs="宋体"/>
        </w:rPr>
        <w:t>的责任和义务</w:t>
      </w:r>
    </w:p>
    <w:p w14:paraId="5B90261C">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（一）确定的工程监理单位、施工单位符合资质要求。</w:t>
      </w:r>
    </w:p>
    <w:p w14:paraId="722B6B89">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（二）督促施工、监理单位完善建设工程保证安全施工的措施。</w:t>
      </w:r>
    </w:p>
    <w:p w14:paraId="018DAEA0">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（三）编制工程概算时，确定建设工程安全作业环境及安全施工措施所需费用。</w:t>
      </w:r>
    </w:p>
    <w:p w14:paraId="3F14AF0C">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（四）不能向施工、监理等单位提出不符合建设工程安全生产法律、法规和强制性标准规定的要求，不得压缩合同约定的工期。</w:t>
      </w:r>
    </w:p>
    <w:p w14:paraId="463251A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（五）向承包人提供施工现场及毗邻区域内供水、排水、供电、供气、供热、通信、广播电视等地下管线资料，气象和水文观测资料，相邻建筑物和构筑物、地下工程的有关资料，并保证资料真实、准确、完整。</w:t>
      </w:r>
    </w:p>
    <w:p w14:paraId="43552336">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（六）应当在施工承包合同中明确承包人的扬尘污染防治责任，督促承包人编制建设工程施工扬尘污染防治专项方案，并落实各项扬尘污染防治措施。</w:t>
      </w:r>
    </w:p>
    <w:p w14:paraId="55E44987">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三、承包人的责任和义务</w:t>
      </w:r>
    </w:p>
    <w:p w14:paraId="4D27BD3D">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（一）建立健全工程项目安全生产责任制度，按规定设立安全生产管理机构和配备专职安全生产管理人员。</w:t>
      </w:r>
    </w:p>
    <w:p w14:paraId="76F16D4D">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二）严格执行住房和城乡建设部《危险性较大的分部分项工程安全管理规定》（住房城乡建设部令第37号）要求，危险性较大分部分项工程编制专项施工方案；超过一定规模的危险性较大分部分项工程专项施工方案在通过专家进行论证审查后方组织施工。同时，严格按专项施工方案进行施工。</w:t>
      </w:r>
    </w:p>
    <w:p w14:paraId="59300FD7">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除危险性较大分部分项工程外的其他工程均需按有关规范编制施工方案，并严格按施工方案进行施工。</w:t>
      </w:r>
    </w:p>
    <w:p w14:paraId="3AB73907">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（三）严格贯彻执行《建筑起重机械安全监督管理规定》（建设部第166号令）要求，做好建筑起重机械管理工作。</w:t>
      </w:r>
    </w:p>
    <w:p w14:paraId="790AD899">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（四）危险性较大和超过一定规模的危险性较大分部分项工程按要求组织验收，未经验收合格不进行下一道工序。</w:t>
      </w:r>
    </w:p>
    <w:p w14:paraId="5E1D14F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（五）严格执行住房和城乡建设部《关于印发〈建筑施工企业负责人及项目负责人施工现场带班暂行办法〉的通知》（建质[2011]111号）要求，落实安全带班检查、带班生产制度。</w:t>
      </w:r>
    </w:p>
    <w:p w14:paraId="0D36B7E3">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（六）安全防护用具（安全网、钢管、扣件）、机械设备、施工起重机具及配件在进入施工现场前经检测（查验）合格才投入使用。</w:t>
      </w:r>
    </w:p>
    <w:p w14:paraId="2F372179">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（七）施工现场建立消防安全责任制度，按要求落实现场消防设施。</w:t>
      </w:r>
    </w:p>
    <w:p w14:paraId="26C35B7A">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（八）严格执行住房和城乡建设部《关于印发〈建筑施工特种作业人员管理规定〉的通知》（建质[2008]75号）要求，现场所有特种作业人员持证上岗。</w:t>
      </w:r>
    </w:p>
    <w:p w14:paraId="23250B8F">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（九）作业人员进入新的岗位或者新的施工现场前，接受安全生产教育培训。</w:t>
      </w:r>
    </w:p>
    <w:p w14:paraId="3CA70889">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（十）为施工现场所有人员办理意外伤害保险。意外伤害保险期限自建设工程开工之日起至竣工验收合格止。</w:t>
      </w:r>
    </w:p>
    <w:p w14:paraId="1DE04306">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（十一）对列入建设工程概算的安全作业环境及安全施工措施所需费用，用于施工安全防护用具及设施的采购和更新、安全施工措施的落实、安全生产条件的改善，不挪作他用。</w:t>
      </w:r>
    </w:p>
    <w:p w14:paraId="7342DA53">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十二）在施工现场入口处、施工起重机械、临时用电设施、脚手架、出入通道口、楼梯口、电梯井口、孔洞口、桥梁口、隧道口、基坑边沿、爆破物及有害危险气体和液体存放处等危险部位，设置符合国家标准的安全警示标志。</w:t>
      </w:r>
    </w:p>
    <w:p w14:paraId="480B55F6">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（十三）施工现场的办公、生活区与作业区分开设置，并保持安全距离；办公、生活区的选址符合安全要求。</w:t>
      </w:r>
    </w:p>
    <w:p w14:paraId="3484275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十四）承担建设工程施工扬尘污染防治工作，严格按《广东省人民政府办公厅关于印发广东省建设工程施工扬尘污染防治管理办法（试行）的通知》（粤办函〔2017〕708号）以及项目扬尘污染防治专项方案落实施工现场各项扬尘污染防治措施。</w:t>
      </w:r>
    </w:p>
    <w:p w14:paraId="7E76B4A1">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本协议和主合同同时签订，具有同等效力，协议份数同主合同。</w:t>
      </w:r>
    </w:p>
    <w:p w14:paraId="5F20F499">
      <w:pPr>
        <w:adjustRightInd w:val="0"/>
        <w:snapToGrid w:val="0"/>
        <w:spacing w:after="200" w:line="360" w:lineRule="auto"/>
        <w:ind w:firstLine="420" w:firstLineChars="200"/>
        <w:rPr>
          <w:rFonts w:hint="eastAsia" w:ascii="宋体" w:hAnsi="宋体" w:eastAsia="宋体" w:cs="宋体"/>
        </w:rPr>
      </w:pPr>
      <w:r>
        <w:rPr>
          <w:rFonts w:ascii="宋体" w:hAnsi="宋体" w:eastAsia="宋体" w:cs="宋体"/>
        </w:rPr>
        <w:t>甲方</w:t>
      </w:r>
      <w:r>
        <w:rPr>
          <w:rFonts w:hint="eastAsia" w:ascii="宋体" w:hAnsi="宋体" w:eastAsia="宋体" w:cs="宋体"/>
        </w:rPr>
        <w:t>（盖章）：深圳科创发展有限公司 承包人（盖章）：</w:t>
      </w:r>
    </w:p>
    <w:p w14:paraId="4A78B66A">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法定代表人（签字或盖章）：               法定代表人（签字或盖章）：</w:t>
      </w:r>
    </w:p>
    <w:p w14:paraId="34E5227D">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或授权委托代理人（签字或盖章）：         或授权委托代理人（签字或盖章）：</w:t>
      </w:r>
    </w:p>
    <w:p w14:paraId="2DB0B016">
      <w:pPr>
        <w:adjustRightInd w:val="0"/>
        <w:snapToGrid w:val="0"/>
        <w:spacing w:after="200" w:line="360" w:lineRule="auto"/>
        <w:ind w:firstLine="420" w:firstLineChars="200"/>
        <w:rPr>
          <w:rFonts w:hint="eastAsia" w:ascii="宋体" w:hAnsi="宋体" w:eastAsia="宋体" w:cs="宋体"/>
        </w:rPr>
      </w:pPr>
      <w:r>
        <w:rPr>
          <w:rFonts w:hint="eastAsia" w:ascii="宋体" w:hAnsi="宋体" w:eastAsia="宋体" w:cs="宋体"/>
        </w:rPr>
        <w:t xml:space="preserve">         </w:t>
      </w:r>
    </w:p>
    <w:p w14:paraId="34A846BA">
      <w:pPr>
        <w:adjustRightInd w:val="0"/>
        <w:snapToGrid w:val="0"/>
        <w:spacing w:after="200" w:line="360" w:lineRule="auto"/>
        <w:ind w:firstLine="420" w:firstLineChars="200"/>
        <w:rPr>
          <w:rFonts w:hint="eastAsia" w:ascii="宋体" w:hAnsi="宋体" w:eastAsia="宋体" w:cs="宋体"/>
        </w:rPr>
      </w:pPr>
    </w:p>
    <w:p w14:paraId="5863233E">
      <w:pPr>
        <w:adjustRightInd w:val="0"/>
        <w:snapToGrid w:val="0"/>
        <w:spacing w:after="200" w:line="360" w:lineRule="auto"/>
        <w:ind w:firstLine="2730" w:firstLineChars="1300"/>
        <w:rPr>
          <w:rFonts w:hint="eastAsia" w:ascii="宋体" w:hAnsi="宋体" w:eastAsia="宋体" w:cs="宋体"/>
        </w:rPr>
      </w:pPr>
      <w:r>
        <w:rPr>
          <w:rFonts w:hint="eastAsia" w:ascii="宋体" w:hAnsi="宋体" w:eastAsia="宋体" w:cs="宋体"/>
        </w:rPr>
        <w:t xml:space="preserve">                        年   月   日</w:t>
      </w:r>
    </w:p>
    <w:p w14:paraId="51EA8698">
      <w:pPr>
        <w:autoSpaceDE w:val="0"/>
        <w:autoSpaceDN w:val="0"/>
        <w:adjustRightInd w:val="0"/>
        <w:snapToGrid w:val="0"/>
        <w:jc w:val="left"/>
        <w:rPr>
          <w:rFonts w:hint="eastAsia" w:ascii="宋体" w:hAnsi="宋体" w:eastAsia="宋体" w:cs="宋体"/>
          <w:sz w:val="28"/>
          <w:szCs w:val="28"/>
          <w:u w:val="single"/>
        </w:rPr>
      </w:pPr>
      <w:r>
        <w:rPr>
          <w:rFonts w:hint="eastAsia" w:ascii="宋体" w:hAnsi="宋体" w:eastAsia="宋体" w:cs="宋体"/>
        </w:rPr>
        <w:br w:type="page"/>
      </w:r>
      <w:bookmarkEnd w:id="18"/>
      <w:bookmarkEnd w:id="19"/>
    </w:p>
    <w:p w14:paraId="3928F944">
      <w:pPr>
        <w:pStyle w:val="19"/>
        <w:keepNext/>
        <w:keepLines/>
        <w:numPr>
          <w:ilvl w:val="0"/>
          <w:numId w:val="3"/>
        </w:numPr>
        <w:tabs>
          <w:tab w:val="left" w:pos="4032"/>
        </w:tabs>
        <w:spacing w:before="340" w:after="330" w:line="360" w:lineRule="auto"/>
        <w:ind w:left="-214" w:firstLine="0" w:firstLineChars="0"/>
        <w:outlineLvl w:val="0"/>
        <w:rPr>
          <w:rFonts w:hint="eastAsia" w:ascii="宋体" w:hAnsi="宋体" w:cs="宋体"/>
          <w:b/>
          <w:snapToGrid w:val="0"/>
          <w:sz w:val="30"/>
          <w:szCs w:val="30"/>
          <w:lang w:val="zh-CN"/>
        </w:rPr>
      </w:pPr>
      <w:bookmarkStart w:id="20" w:name="_Toc77065500"/>
      <w:bookmarkStart w:id="21" w:name="_Toc32172"/>
      <w:r>
        <w:rPr>
          <w:rFonts w:hint="eastAsia" w:ascii="宋体" w:hAnsi="宋体" w:cs="宋体"/>
          <w:b/>
          <w:snapToGrid w:val="0"/>
          <w:sz w:val="30"/>
          <w:szCs w:val="30"/>
          <w:lang w:val="zh-CN"/>
        </w:rPr>
        <w:t>《中标通知书》</w:t>
      </w:r>
      <w:bookmarkEnd w:id="20"/>
      <w:bookmarkEnd w:id="21"/>
    </w:p>
    <w:p w14:paraId="5136D559">
      <w:pPr>
        <w:spacing w:line="360" w:lineRule="auto"/>
        <w:jc w:val="center"/>
        <w:rPr>
          <w:rFonts w:hint="eastAsia" w:ascii="宋体" w:hAnsi="宋体" w:eastAsia="宋体" w:cs="宋体"/>
          <w:sz w:val="30"/>
          <w:szCs w:val="30"/>
        </w:rPr>
      </w:pPr>
    </w:p>
    <w:p w14:paraId="25B690D9">
      <w:pPr>
        <w:spacing w:line="360" w:lineRule="auto"/>
        <w:rPr>
          <w:rFonts w:hint="eastAsia" w:ascii="宋体" w:hAnsi="宋体" w:eastAsia="宋体" w:cs="宋体"/>
          <w:b/>
          <w:bCs/>
          <w:snapToGrid w:val="0"/>
          <w:sz w:val="30"/>
          <w:szCs w:val="30"/>
          <w:lang w:val="zh-CN"/>
        </w:rPr>
      </w:pPr>
      <w:r>
        <w:rPr>
          <w:rFonts w:hint="eastAsia" w:ascii="宋体" w:hAnsi="宋体" w:eastAsia="宋体" w:cs="宋体"/>
          <w:sz w:val="30"/>
          <w:szCs w:val="30"/>
        </w:rPr>
        <w:br w:type="page"/>
      </w:r>
    </w:p>
    <w:p w14:paraId="1A99301F">
      <w:pPr>
        <w:pStyle w:val="19"/>
        <w:numPr>
          <w:ilvl w:val="0"/>
          <w:numId w:val="3"/>
        </w:numPr>
        <w:spacing w:line="360" w:lineRule="auto"/>
        <w:ind w:left="491" w:hanging="705" w:firstLineChars="0"/>
        <w:outlineLvl w:val="0"/>
        <w:rPr>
          <w:rFonts w:hint="eastAsia" w:ascii="宋体" w:hAnsi="宋体" w:cs="宋体"/>
          <w:b/>
          <w:snapToGrid w:val="0"/>
          <w:sz w:val="30"/>
          <w:szCs w:val="30"/>
          <w:lang w:val="zh-CN"/>
        </w:rPr>
      </w:pPr>
      <w:bookmarkStart w:id="22" w:name="_Toc22442"/>
      <w:bookmarkStart w:id="23" w:name="_Toc24388"/>
      <w:bookmarkStart w:id="24" w:name="_Toc19465"/>
      <w:r>
        <w:rPr>
          <w:rFonts w:hint="eastAsia" w:ascii="宋体" w:hAnsi="宋体" w:cs="宋体"/>
          <w:b/>
          <w:snapToGrid w:val="0"/>
          <w:sz w:val="30"/>
          <w:szCs w:val="30"/>
          <w:lang w:val="zh-CN"/>
        </w:rPr>
        <w:t>《</w:t>
      </w:r>
      <w:r>
        <w:rPr>
          <w:rFonts w:hint="eastAsia" w:ascii="宋体" w:hAnsi="宋体" w:cs="宋体"/>
          <w:b/>
          <w:snapToGrid w:val="0"/>
          <w:sz w:val="30"/>
          <w:szCs w:val="30"/>
          <w:lang w:eastAsia="zh-CN"/>
        </w:rPr>
        <w:t>2025年度河套壹号项目楼体幕墙发光字制作及安装</w:t>
      </w:r>
      <w:r>
        <w:rPr>
          <w:rFonts w:hint="eastAsia" w:ascii="宋体" w:hAnsi="宋体" w:cs="宋体"/>
          <w:b/>
          <w:snapToGrid w:val="0"/>
          <w:sz w:val="30"/>
          <w:szCs w:val="30"/>
        </w:rPr>
        <w:t>采购</w:t>
      </w:r>
      <w:r>
        <w:rPr>
          <w:rFonts w:hint="eastAsia" w:ascii="宋体" w:hAnsi="宋体" w:cs="宋体"/>
          <w:b/>
          <w:snapToGrid w:val="0"/>
          <w:sz w:val="30"/>
          <w:szCs w:val="30"/>
          <w:lang w:eastAsia="zh-Hans"/>
        </w:rPr>
        <w:t>技术规范书</w:t>
      </w:r>
      <w:r>
        <w:rPr>
          <w:rFonts w:hint="eastAsia" w:ascii="宋体" w:hAnsi="宋体" w:cs="宋体"/>
          <w:b/>
          <w:snapToGrid w:val="0"/>
          <w:sz w:val="30"/>
          <w:szCs w:val="30"/>
          <w:lang w:val="zh-CN"/>
        </w:rPr>
        <w:t>》</w:t>
      </w:r>
      <w:bookmarkEnd w:id="22"/>
      <w:bookmarkEnd w:id="23"/>
      <w:bookmarkEnd w:id="24"/>
    </w:p>
    <w:p w14:paraId="33042F56">
      <w:pPr>
        <w:spacing w:line="480" w:lineRule="auto"/>
        <w:jc w:val="center"/>
        <w:rPr>
          <w:rFonts w:hint="eastAsia" w:ascii="方正小标宋_GBK" w:eastAsia="方正小标宋_GBK"/>
          <w:b/>
          <w:sz w:val="52"/>
        </w:rPr>
      </w:pPr>
    </w:p>
    <w:p w14:paraId="21AE69D8">
      <w:pPr>
        <w:widowControl/>
        <w:spacing w:line="360" w:lineRule="auto"/>
        <w:ind w:firstLine="640" w:firstLineChars="200"/>
        <w:jc w:val="left"/>
        <w:rPr>
          <w:rFonts w:hint="eastAsia" w:ascii="宋体" w:hAnsi="宋体" w:eastAsia="宋体" w:cs="宋体"/>
          <w:sz w:val="32"/>
          <w:szCs w:val="32"/>
          <w:lang w:bidi="ar"/>
        </w:rPr>
      </w:pPr>
    </w:p>
    <w:p w14:paraId="590A597F">
      <w:pPr>
        <w:widowControl/>
        <w:spacing w:line="360" w:lineRule="auto"/>
        <w:ind w:firstLine="640" w:firstLineChars="200"/>
        <w:jc w:val="left"/>
        <w:rPr>
          <w:rFonts w:hint="eastAsia" w:ascii="宋体" w:hAnsi="宋体" w:eastAsia="宋体" w:cs="宋体"/>
          <w:sz w:val="32"/>
          <w:szCs w:val="32"/>
          <w:lang w:bidi="ar"/>
        </w:rPr>
      </w:pPr>
    </w:p>
    <w:p w14:paraId="41068C9F">
      <w:pPr>
        <w:spacing w:line="360" w:lineRule="auto"/>
        <w:rPr>
          <w:rFonts w:hint="eastAsia" w:ascii="宋体" w:hAnsi="宋体" w:eastAsia="宋体" w:cs="宋体"/>
          <w:sz w:val="32"/>
          <w:szCs w:val="32"/>
        </w:rPr>
      </w:pPr>
    </w:p>
    <w:p w14:paraId="3C41821D">
      <w:pPr>
        <w:pStyle w:val="2"/>
        <w:rPr>
          <w:rFonts w:hint="eastAsia" w:ascii="宋体" w:hAnsi="宋体" w:eastAsia="宋体" w:cs="宋体"/>
          <w:sz w:val="32"/>
          <w:szCs w:val="32"/>
        </w:rPr>
      </w:pPr>
    </w:p>
    <w:p w14:paraId="53CD00B8">
      <w:pPr>
        <w:rPr>
          <w:rFonts w:hint="eastAsia" w:ascii="宋体" w:hAnsi="宋体" w:eastAsia="宋体" w:cs="宋体"/>
          <w:sz w:val="32"/>
          <w:szCs w:val="32"/>
        </w:rPr>
      </w:pPr>
    </w:p>
    <w:p w14:paraId="45195110">
      <w:pPr>
        <w:pStyle w:val="2"/>
        <w:rPr>
          <w:rFonts w:hint="eastAsia" w:ascii="宋体" w:hAnsi="宋体" w:eastAsia="宋体" w:cs="宋体"/>
          <w:sz w:val="32"/>
          <w:szCs w:val="32"/>
        </w:rPr>
      </w:pPr>
    </w:p>
    <w:p w14:paraId="549A5BD9">
      <w:pPr>
        <w:rPr>
          <w:rFonts w:hint="eastAsia" w:ascii="宋体" w:hAnsi="宋体" w:eastAsia="宋体" w:cs="宋体"/>
          <w:sz w:val="32"/>
          <w:szCs w:val="32"/>
        </w:rPr>
      </w:pPr>
    </w:p>
    <w:p w14:paraId="0570A59A">
      <w:pPr>
        <w:pStyle w:val="2"/>
        <w:rPr>
          <w:rFonts w:hint="eastAsia" w:ascii="宋体" w:hAnsi="宋体" w:eastAsia="宋体" w:cs="宋体"/>
          <w:sz w:val="32"/>
          <w:szCs w:val="32"/>
        </w:rPr>
      </w:pPr>
    </w:p>
    <w:p w14:paraId="51DBB8C7">
      <w:pPr>
        <w:pStyle w:val="2"/>
        <w:rPr>
          <w:rFonts w:hint="eastAsia"/>
        </w:rPr>
      </w:pPr>
    </w:p>
    <w:p w14:paraId="0B106297">
      <w:pPr>
        <w:rPr>
          <w:rFonts w:hint="eastAsia"/>
        </w:rPr>
      </w:pPr>
    </w:p>
    <w:p w14:paraId="07AE26A2">
      <w:pPr>
        <w:rPr>
          <w:rFonts w:hint="eastAsia"/>
        </w:rPr>
      </w:pPr>
      <w:r>
        <w:br w:type="page"/>
      </w:r>
    </w:p>
    <w:p w14:paraId="33CA12A5">
      <w:pPr>
        <w:pStyle w:val="19"/>
        <w:numPr>
          <w:ilvl w:val="0"/>
          <w:numId w:val="3"/>
        </w:numPr>
        <w:spacing w:line="360" w:lineRule="auto"/>
        <w:ind w:left="491" w:hanging="705" w:firstLineChars="0"/>
        <w:outlineLvl w:val="0"/>
        <w:rPr>
          <w:rFonts w:hint="eastAsia" w:ascii="宋体" w:hAnsi="宋体" w:cs="宋体"/>
          <w:b/>
          <w:snapToGrid w:val="0"/>
          <w:sz w:val="30"/>
          <w:szCs w:val="30"/>
          <w:lang w:val="zh-CN" w:eastAsia="zh-Hans"/>
        </w:rPr>
      </w:pPr>
      <w:r>
        <w:rPr>
          <w:rFonts w:hint="eastAsia" w:ascii="宋体" w:hAnsi="宋体" w:cs="宋体"/>
          <w:b/>
          <w:snapToGrid w:val="0"/>
          <w:sz w:val="30"/>
          <w:szCs w:val="30"/>
          <w:lang w:val="zh-CN"/>
        </w:rPr>
        <w:t>《报价清单》</w:t>
      </w:r>
    </w:p>
    <w:p w14:paraId="5BBB0E02">
      <w:pPr>
        <w:rPr>
          <w:rFonts w:hint="eastAsia"/>
          <w:lang w:eastAsia="zh-Hans"/>
        </w:rPr>
      </w:pPr>
      <w:r>
        <w:rPr>
          <w:rFonts w:hint="eastAsia"/>
        </w:rPr>
        <w:br w:type="page"/>
      </w:r>
    </w:p>
    <w:p w14:paraId="60153A6D">
      <w:pPr>
        <w:pStyle w:val="19"/>
        <w:numPr>
          <w:ilvl w:val="0"/>
          <w:numId w:val="3"/>
        </w:numPr>
        <w:spacing w:line="360" w:lineRule="auto"/>
        <w:ind w:left="491" w:hanging="705" w:firstLineChars="0"/>
        <w:outlineLvl w:val="0"/>
        <w:rPr>
          <w:rFonts w:hint="eastAsia" w:ascii="宋体" w:hAnsi="宋体" w:cs="宋体"/>
          <w:b/>
          <w:snapToGrid w:val="0"/>
          <w:sz w:val="30"/>
          <w:szCs w:val="30"/>
          <w:lang w:val="zh-CN"/>
        </w:rPr>
      </w:pPr>
      <w:r>
        <w:rPr>
          <w:rFonts w:hint="eastAsia" w:ascii="宋体" w:hAnsi="宋体" w:cs="宋体"/>
          <w:b/>
          <w:snapToGrid w:val="0"/>
          <w:sz w:val="30"/>
          <w:szCs w:val="30"/>
          <w:lang w:val="zh-CN"/>
        </w:rPr>
        <w:t>《履约评价表》</w:t>
      </w:r>
    </w:p>
    <w:tbl>
      <w:tblPr>
        <w:tblStyle w:val="15"/>
        <w:tblW w:w="964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4483"/>
        <w:gridCol w:w="1187"/>
        <w:gridCol w:w="2127"/>
        <w:gridCol w:w="992"/>
      </w:tblGrid>
      <w:tr w14:paraId="0D688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0" w:type="dxa"/>
            <w:gridSpan w:val="5"/>
          </w:tcPr>
          <w:p w14:paraId="78524BAA">
            <w:pPr>
              <w:jc w:val="center"/>
              <w:rPr>
                <w:rFonts w:ascii="Times New Roman" w:hAnsi="Times New Roman"/>
                <w:lang w:eastAsia="zh-Hans"/>
              </w:rPr>
            </w:pPr>
            <w:r>
              <w:rPr>
                <w:rFonts w:hint="eastAsia" w:ascii="Times New Roman" w:hAnsi="Times New Roman" w:eastAsia="宋体"/>
                <w:b/>
                <w:kern w:val="0"/>
                <w:szCs w:val="21"/>
                <w:lang w:bidi="ar"/>
              </w:rPr>
              <w:t>楼体灯光字</w:t>
            </w:r>
            <w:r>
              <w:rPr>
                <w:rFonts w:hint="eastAsia" w:ascii="Times New Roman" w:hAnsi="Times New Roman" w:eastAsia="宋体"/>
                <w:b/>
                <w:kern w:val="0"/>
                <w:szCs w:val="21"/>
                <w:lang w:eastAsia="zh-Hans" w:bidi="ar"/>
              </w:rPr>
              <w:t>广告制作及安装</w:t>
            </w:r>
            <w:r>
              <w:rPr>
                <w:rFonts w:ascii="Times New Roman" w:hAnsi="Times New Roman" w:eastAsia="宋体"/>
                <w:b/>
                <w:kern w:val="0"/>
                <w:szCs w:val="21"/>
                <w:lang w:bidi="ar"/>
              </w:rPr>
              <w:t>管理考核表</w:t>
            </w:r>
          </w:p>
        </w:tc>
      </w:tr>
      <w:tr w14:paraId="5BDDD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64944D11">
            <w:pPr>
              <w:jc w:val="center"/>
              <w:rPr>
                <w:rFonts w:ascii="Times New Roman" w:hAnsi="Times New Roman"/>
                <w:lang w:eastAsia="zh-Hans"/>
              </w:rPr>
            </w:pPr>
            <w:r>
              <w:rPr>
                <w:rFonts w:ascii="Times New Roman" w:hAnsi="Times New Roman" w:eastAsia="宋体"/>
                <w:b/>
                <w:kern w:val="0"/>
                <w:szCs w:val="21"/>
                <w:lang w:bidi="ar"/>
              </w:rPr>
              <w:t>事项</w:t>
            </w:r>
          </w:p>
        </w:tc>
        <w:tc>
          <w:tcPr>
            <w:tcW w:w="4483" w:type="dxa"/>
            <w:vAlign w:val="center"/>
          </w:tcPr>
          <w:p w14:paraId="2D5ECCED">
            <w:pPr>
              <w:jc w:val="center"/>
              <w:rPr>
                <w:rFonts w:ascii="Times New Roman" w:hAnsi="Times New Roman"/>
                <w:lang w:eastAsia="zh-Hans"/>
              </w:rPr>
            </w:pPr>
            <w:r>
              <w:rPr>
                <w:rFonts w:ascii="Times New Roman" w:hAnsi="Times New Roman" w:eastAsia="宋体"/>
                <w:b/>
                <w:kern w:val="0"/>
                <w:szCs w:val="21"/>
                <w:lang w:bidi="ar"/>
              </w:rPr>
              <w:t>考核内容</w:t>
            </w:r>
          </w:p>
        </w:tc>
        <w:tc>
          <w:tcPr>
            <w:tcW w:w="1187" w:type="dxa"/>
            <w:vAlign w:val="center"/>
          </w:tcPr>
          <w:p w14:paraId="3A4D47C7">
            <w:pPr>
              <w:jc w:val="center"/>
              <w:rPr>
                <w:rFonts w:ascii="Times New Roman" w:hAnsi="Times New Roman"/>
                <w:lang w:eastAsia="zh-Hans"/>
              </w:rPr>
            </w:pPr>
            <w:r>
              <w:rPr>
                <w:rFonts w:ascii="Times New Roman" w:hAnsi="Times New Roman" w:eastAsia="宋体"/>
                <w:b/>
                <w:kern w:val="0"/>
                <w:szCs w:val="21"/>
                <w:lang w:bidi="ar"/>
              </w:rPr>
              <w:t>标准分值</w:t>
            </w:r>
          </w:p>
        </w:tc>
        <w:tc>
          <w:tcPr>
            <w:tcW w:w="2127" w:type="dxa"/>
            <w:vAlign w:val="center"/>
          </w:tcPr>
          <w:p w14:paraId="44A8DF63">
            <w:pPr>
              <w:jc w:val="center"/>
              <w:rPr>
                <w:rFonts w:ascii="Times New Roman" w:hAnsi="Times New Roman"/>
                <w:lang w:eastAsia="zh-Hans"/>
              </w:rPr>
            </w:pPr>
            <w:r>
              <w:rPr>
                <w:rFonts w:ascii="Times New Roman" w:hAnsi="Times New Roman" w:eastAsia="宋体"/>
                <w:b/>
                <w:kern w:val="0"/>
                <w:szCs w:val="21"/>
                <w:lang w:bidi="ar"/>
              </w:rPr>
              <w:t>扣分标准</w:t>
            </w:r>
          </w:p>
        </w:tc>
        <w:tc>
          <w:tcPr>
            <w:tcW w:w="992" w:type="dxa"/>
            <w:vAlign w:val="center"/>
          </w:tcPr>
          <w:p w14:paraId="588FB2FD">
            <w:pPr>
              <w:jc w:val="center"/>
              <w:rPr>
                <w:rFonts w:ascii="Times New Roman" w:hAnsi="Times New Roman"/>
                <w:lang w:eastAsia="zh-Hans"/>
              </w:rPr>
            </w:pPr>
            <w:r>
              <w:rPr>
                <w:rFonts w:ascii="Times New Roman" w:hAnsi="Times New Roman" w:eastAsia="宋体"/>
                <w:b/>
                <w:kern w:val="0"/>
                <w:szCs w:val="21"/>
                <w:lang w:bidi="ar"/>
              </w:rPr>
              <w:t>得分</w:t>
            </w:r>
          </w:p>
        </w:tc>
      </w:tr>
      <w:tr w14:paraId="1DB7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14:paraId="02F0FF05">
            <w:pPr>
              <w:jc w:val="center"/>
              <w:rPr>
                <w:rFonts w:ascii="Times New Roman" w:hAnsi="Times New Roman"/>
                <w:b/>
                <w:bCs/>
                <w:lang w:eastAsia="zh-Hans"/>
              </w:rPr>
            </w:pPr>
            <w:r>
              <w:rPr>
                <w:rFonts w:hint="eastAsia" w:ascii="Times New Roman" w:hAnsi="Times New Roman"/>
                <w:b/>
                <w:bCs/>
                <w:lang w:eastAsia="zh-Hans"/>
              </w:rPr>
              <w:t>质量</w:t>
            </w:r>
          </w:p>
          <w:p w14:paraId="66B55E9E">
            <w:pPr>
              <w:jc w:val="center"/>
              <w:rPr>
                <w:rFonts w:ascii="Times New Roman" w:hAnsi="Times New Roman"/>
                <w:b/>
                <w:bCs/>
                <w:lang w:eastAsia="zh-Hans"/>
              </w:rPr>
            </w:pPr>
            <w:r>
              <w:rPr>
                <w:rFonts w:hint="eastAsia" w:ascii="Times New Roman" w:hAnsi="Times New Roman"/>
                <w:b/>
                <w:bCs/>
                <w:lang w:eastAsia="zh-Hans"/>
              </w:rPr>
              <w:t>把控</w:t>
            </w:r>
          </w:p>
        </w:tc>
        <w:tc>
          <w:tcPr>
            <w:tcW w:w="4483" w:type="dxa"/>
            <w:vAlign w:val="center"/>
          </w:tcPr>
          <w:p w14:paraId="1C4AC25B">
            <w:pPr>
              <w:jc w:val="center"/>
              <w:rPr>
                <w:rFonts w:ascii="Times New Roman" w:hAnsi="Times New Roman"/>
                <w:lang w:eastAsia="zh-Hans"/>
              </w:rPr>
            </w:pPr>
            <w:r>
              <w:rPr>
                <w:rFonts w:hint="eastAsia" w:ascii="Times New Roman" w:hAnsi="Times New Roman" w:eastAsia="宋体"/>
                <w:kern w:val="0"/>
                <w:szCs w:val="21"/>
                <w:lang w:eastAsia="zh-Hans" w:bidi="ar"/>
              </w:rPr>
              <w:t>按照图纸和实施要求与甲方确认制作小样</w:t>
            </w:r>
          </w:p>
        </w:tc>
        <w:tc>
          <w:tcPr>
            <w:tcW w:w="1187" w:type="dxa"/>
            <w:vAlign w:val="center"/>
          </w:tcPr>
          <w:p w14:paraId="022E9F18">
            <w:pPr>
              <w:jc w:val="center"/>
              <w:rPr>
                <w:rFonts w:ascii="Times New Roman" w:hAnsi="Times New Roman"/>
              </w:rPr>
            </w:pPr>
            <w:r>
              <w:rPr>
                <w:rFonts w:ascii="Times New Roman" w:hAnsi="Times New Roman" w:eastAsia="宋体"/>
                <w:bCs/>
                <w:kern w:val="0"/>
                <w:szCs w:val="21"/>
                <w:lang w:bidi="ar"/>
              </w:rPr>
              <w:t>10</w:t>
            </w:r>
          </w:p>
        </w:tc>
        <w:tc>
          <w:tcPr>
            <w:tcW w:w="2127" w:type="dxa"/>
            <w:vMerge w:val="restart"/>
            <w:vAlign w:val="center"/>
          </w:tcPr>
          <w:p w14:paraId="7AE03505">
            <w:pPr>
              <w:jc w:val="center"/>
              <w:rPr>
                <w:rFonts w:ascii="Times New Roman" w:hAnsi="Times New Roman"/>
                <w:lang w:eastAsia="zh-Hans"/>
              </w:rPr>
            </w:pPr>
            <w:r>
              <w:rPr>
                <w:rFonts w:ascii="Times New Roman" w:hAnsi="Times New Roman" w:eastAsia="宋体"/>
                <w:bCs/>
                <w:kern w:val="0"/>
                <w:szCs w:val="21"/>
                <w:lang w:bidi="ar"/>
              </w:rPr>
              <w:t>未达标准，每次扣减5分</w:t>
            </w:r>
            <w:r>
              <w:rPr>
                <w:rFonts w:ascii="Times New Roman" w:hAnsi="Times New Roman" w:eastAsia="宋体"/>
                <w:bCs/>
                <w:kern w:val="0"/>
                <w:szCs w:val="21"/>
                <w:lang w:eastAsia="zh-Hans" w:bidi="ar"/>
              </w:rPr>
              <w:t>，出现重大错漏本项不得分</w:t>
            </w:r>
          </w:p>
        </w:tc>
        <w:tc>
          <w:tcPr>
            <w:tcW w:w="992" w:type="dxa"/>
          </w:tcPr>
          <w:p w14:paraId="71FF0357">
            <w:pPr>
              <w:rPr>
                <w:rFonts w:ascii="Times New Roman" w:hAnsi="Times New Roman"/>
                <w:lang w:eastAsia="zh-Hans"/>
              </w:rPr>
            </w:pPr>
          </w:p>
        </w:tc>
      </w:tr>
      <w:tr w14:paraId="70C97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14:paraId="5F223199">
            <w:pPr>
              <w:jc w:val="center"/>
              <w:rPr>
                <w:rFonts w:ascii="Times New Roman" w:hAnsi="Times New Roman"/>
                <w:lang w:eastAsia="zh-Hans"/>
              </w:rPr>
            </w:pPr>
          </w:p>
        </w:tc>
        <w:tc>
          <w:tcPr>
            <w:tcW w:w="4483" w:type="dxa"/>
            <w:vAlign w:val="center"/>
          </w:tcPr>
          <w:p w14:paraId="5E63D94B">
            <w:pPr>
              <w:jc w:val="center"/>
              <w:rPr>
                <w:rFonts w:ascii="Times New Roman" w:hAnsi="Times New Roman"/>
                <w:lang w:eastAsia="zh-Hans"/>
              </w:rPr>
            </w:pPr>
            <w:r>
              <w:rPr>
                <w:rFonts w:hint="eastAsia" w:ascii="Times New Roman" w:hAnsi="Times New Roman" w:eastAsia="宋体"/>
                <w:kern w:val="0"/>
                <w:szCs w:val="21"/>
                <w:lang w:eastAsia="zh-Hans" w:bidi="ar"/>
              </w:rPr>
              <w:t>各项保障措施管理到位，安装工作按计划开展</w:t>
            </w:r>
          </w:p>
        </w:tc>
        <w:tc>
          <w:tcPr>
            <w:tcW w:w="1187" w:type="dxa"/>
            <w:vAlign w:val="center"/>
          </w:tcPr>
          <w:p w14:paraId="3B2E5CAB">
            <w:pPr>
              <w:jc w:val="center"/>
              <w:rPr>
                <w:rFonts w:ascii="Times New Roman" w:hAnsi="Times New Roman"/>
              </w:rPr>
            </w:pPr>
            <w:r>
              <w:rPr>
                <w:rFonts w:ascii="Times New Roman" w:hAnsi="Times New Roman" w:eastAsia="宋体"/>
                <w:bCs/>
                <w:kern w:val="0"/>
                <w:szCs w:val="21"/>
                <w:lang w:bidi="ar"/>
              </w:rPr>
              <w:t>10</w:t>
            </w:r>
          </w:p>
        </w:tc>
        <w:tc>
          <w:tcPr>
            <w:tcW w:w="2127" w:type="dxa"/>
            <w:vMerge w:val="continue"/>
            <w:vAlign w:val="center"/>
          </w:tcPr>
          <w:p w14:paraId="7992B3A1">
            <w:pPr>
              <w:jc w:val="center"/>
              <w:rPr>
                <w:rFonts w:ascii="Times New Roman" w:hAnsi="Times New Roman"/>
                <w:lang w:eastAsia="zh-Hans"/>
              </w:rPr>
            </w:pPr>
          </w:p>
        </w:tc>
        <w:tc>
          <w:tcPr>
            <w:tcW w:w="992" w:type="dxa"/>
          </w:tcPr>
          <w:p w14:paraId="6FE28376">
            <w:pPr>
              <w:rPr>
                <w:rFonts w:ascii="Times New Roman" w:hAnsi="Times New Roman"/>
                <w:lang w:eastAsia="zh-Hans"/>
              </w:rPr>
            </w:pPr>
          </w:p>
        </w:tc>
      </w:tr>
      <w:tr w14:paraId="0DE3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14:paraId="1A83A2E5">
            <w:pPr>
              <w:jc w:val="center"/>
              <w:rPr>
                <w:rFonts w:ascii="Times New Roman" w:hAnsi="Times New Roman"/>
                <w:lang w:eastAsia="zh-Hans"/>
              </w:rPr>
            </w:pPr>
          </w:p>
        </w:tc>
        <w:tc>
          <w:tcPr>
            <w:tcW w:w="4483" w:type="dxa"/>
            <w:vAlign w:val="center"/>
          </w:tcPr>
          <w:p w14:paraId="34C2E849">
            <w:pPr>
              <w:jc w:val="center"/>
              <w:rPr>
                <w:rFonts w:ascii="Times New Roman" w:hAnsi="Times New Roman"/>
                <w:lang w:eastAsia="zh-Hans"/>
              </w:rPr>
            </w:pPr>
            <w:r>
              <w:rPr>
                <w:rFonts w:hint="eastAsia" w:ascii="Times New Roman" w:hAnsi="Times New Roman" w:eastAsia="宋体"/>
                <w:kern w:val="0"/>
                <w:szCs w:val="21"/>
                <w:lang w:eastAsia="zh-Hans" w:bidi="ar"/>
              </w:rPr>
              <w:t>制作及安装规格、尺寸严格按照要求实施</w:t>
            </w:r>
          </w:p>
        </w:tc>
        <w:tc>
          <w:tcPr>
            <w:tcW w:w="1187" w:type="dxa"/>
            <w:vAlign w:val="center"/>
          </w:tcPr>
          <w:p w14:paraId="0BE27B41">
            <w:pPr>
              <w:jc w:val="center"/>
              <w:rPr>
                <w:rFonts w:ascii="Times New Roman" w:hAnsi="Times New Roman"/>
                <w:lang w:eastAsia="zh-Hans"/>
              </w:rPr>
            </w:pPr>
            <w:r>
              <w:rPr>
                <w:rFonts w:ascii="Times New Roman" w:hAnsi="Times New Roman" w:eastAsia="宋体"/>
                <w:kern w:val="0"/>
                <w:szCs w:val="21"/>
                <w:lang w:bidi="ar"/>
              </w:rPr>
              <w:t>15</w:t>
            </w:r>
          </w:p>
        </w:tc>
        <w:tc>
          <w:tcPr>
            <w:tcW w:w="2127" w:type="dxa"/>
            <w:vMerge w:val="continue"/>
            <w:vAlign w:val="center"/>
          </w:tcPr>
          <w:p w14:paraId="3ED44D2D">
            <w:pPr>
              <w:jc w:val="center"/>
              <w:rPr>
                <w:rFonts w:ascii="Times New Roman" w:hAnsi="Times New Roman"/>
                <w:lang w:eastAsia="zh-Hans"/>
              </w:rPr>
            </w:pPr>
          </w:p>
        </w:tc>
        <w:tc>
          <w:tcPr>
            <w:tcW w:w="992" w:type="dxa"/>
          </w:tcPr>
          <w:p w14:paraId="7853C00D">
            <w:pPr>
              <w:rPr>
                <w:rFonts w:ascii="Times New Roman" w:hAnsi="Times New Roman"/>
                <w:lang w:eastAsia="zh-Hans"/>
              </w:rPr>
            </w:pPr>
          </w:p>
        </w:tc>
      </w:tr>
      <w:tr w14:paraId="775AF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14:paraId="2EE61D67">
            <w:pPr>
              <w:jc w:val="center"/>
              <w:rPr>
                <w:rFonts w:ascii="Times New Roman" w:hAnsi="Times New Roman"/>
                <w:lang w:eastAsia="zh-Hans"/>
              </w:rPr>
            </w:pPr>
          </w:p>
        </w:tc>
        <w:tc>
          <w:tcPr>
            <w:tcW w:w="4483" w:type="dxa"/>
            <w:vAlign w:val="center"/>
          </w:tcPr>
          <w:p w14:paraId="0EBFE02E">
            <w:pPr>
              <w:jc w:val="center"/>
              <w:rPr>
                <w:rFonts w:ascii="Times New Roman" w:hAnsi="Times New Roman"/>
                <w:lang w:eastAsia="zh-Hans"/>
              </w:rPr>
            </w:pPr>
            <w:r>
              <w:rPr>
                <w:rFonts w:hint="eastAsia" w:ascii="Times New Roman" w:hAnsi="Times New Roman" w:eastAsia="宋体"/>
                <w:kern w:val="0"/>
                <w:szCs w:val="21"/>
                <w:lang w:eastAsia="zh-Hans" w:bidi="ar"/>
              </w:rPr>
              <w:t>安装质量达到要求，质保反应及时</w:t>
            </w:r>
          </w:p>
        </w:tc>
        <w:tc>
          <w:tcPr>
            <w:tcW w:w="1187" w:type="dxa"/>
            <w:vAlign w:val="center"/>
          </w:tcPr>
          <w:p w14:paraId="1384D1DF">
            <w:pPr>
              <w:jc w:val="center"/>
              <w:rPr>
                <w:rFonts w:ascii="Times New Roman" w:hAnsi="Times New Roman"/>
                <w:lang w:eastAsia="zh-Hans"/>
              </w:rPr>
            </w:pPr>
            <w:r>
              <w:rPr>
                <w:rFonts w:ascii="Times New Roman" w:hAnsi="Times New Roman" w:eastAsia="宋体"/>
                <w:kern w:val="0"/>
                <w:szCs w:val="21"/>
                <w:lang w:bidi="ar"/>
              </w:rPr>
              <w:t>15</w:t>
            </w:r>
          </w:p>
        </w:tc>
        <w:tc>
          <w:tcPr>
            <w:tcW w:w="2127" w:type="dxa"/>
            <w:vMerge w:val="continue"/>
            <w:vAlign w:val="center"/>
          </w:tcPr>
          <w:p w14:paraId="3DC2A641">
            <w:pPr>
              <w:jc w:val="center"/>
              <w:rPr>
                <w:rFonts w:ascii="Times New Roman" w:hAnsi="Times New Roman"/>
                <w:lang w:eastAsia="zh-Hans"/>
              </w:rPr>
            </w:pPr>
          </w:p>
        </w:tc>
        <w:tc>
          <w:tcPr>
            <w:tcW w:w="992" w:type="dxa"/>
          </w:tcPr>
          <w:p w14:paraId="171263EB">
            <w:pPr>
              <w:rPr>
                <w:rFonts w:ascii="Times New Roman" w:hAnsi="Times New Roman"/>
                <w:lang w:eastAsia="zh-Hans"/>
              </w:rPr>
            </w:pPr>
          </w:p>
        </w:tc>
      </w:tr>
      <w:tr w14:paraId="70F81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14:paraId="7F79E26C">
            <w:pPr>
              <w:jc w:val="center"/>
              <w:rPr>
                <w:rFonts w:ascii="Times New Roman" w:hAnsi="Times New Roman"/>
                <w:b/>
                <w:bCs/>
                <w:lang w:eastAsia="zh-Hans"/>
              </w:rPr>
            </w:pPr>
            <w:r>
              <w:rPr>
                <w:rFonts w:ascii="Times New Roman" w:hAnsi="Times New Roman"/>
                <w:b/>
                <w:bCs/>
                <w:lang w:eastAsia="zh-Hans"/>
              </w:rPr>
              <w:t>工作</w:t>
            </w:r>
          </w:p>
          <w:p w14:paraId="1CDAFAEB">
            <w:pPr>
              <w:jc w:val="center"/>
              <w:rPr>
                <w:rFonts w:ascii="Times New Roman" w:hAnsi="Times New Roman"/>
                <w:b/>
                <w:bCs/>
                <w:lang w:eastAsia="zh-Hans"/>
              </w:rPr>
            </w:pPr>
            <w:r>
              <w:rPr>
                <w:rFonts w:ascii="Times New Roman" w:hAnsi="Times New Roman"/>
                <w:b/>
                <w:bCs/>
                <w:lang w:eastAsia="zh-Hans"/>
              </w:rPr>
              <w:t>配合</w:t>
            </w:r>
          </w:p>
        </w:tc>
        <w:tc>
          <w:tcPr>
            <w:tcW w:w="4483" w:type="dxa"/>
            <w:vAlign w:val="center"/>
          </w:tcPr>
          <w:p w14:paraId="598A064A">
            <w:pPr>
              <w:widowControl/>
              <w:jc w:val="center"/>
              <w:textAlignment w:val="center"/>
              <w:rPr>
                <w:rFonts w:ascii="Times New Roman" w:hAnsi="Times New Roman" w:eastAsia="宋体"/>
                <w:b/>
                <w:kern w:val="0"/>
                <w:szCs w:val="21"/>
                <w:lang w:eastAsia="zh-Hans" w:bidi="ar"/>
              </w:rPr>
            </w:pPr>
            <w:r>
              <w:rPr>
                <w:rFonts w:hint="eastAsia" w:ascii="Times New Roman" w:hAnsi="Times New Roman" w:eastAsia="宋体"/>
                <w:kern w:val="0"/>
                <w:szCs w:val="21"/>
                <w:lang w:eastAsia="zh-Hans" w:bidi="ar"/>
              </w:rPr>
              <w:t>现场交底及查勘工作到位，安装条件及工作边界提前明确</w:t>
            </w:r>
          </w:p>
        </w:tc>
        <w:tc>
          <w:tcPr>
            <w:tcW w:w="1187" w:type="dxa"/>
            <w:vAlign w:val="center"/>
          </w:tcPr>
          <w:p w14:paraId="4C0C275E">
            <w:pPr>
              <w:jc w:val="center"/>
              <w:rPr>
                <w:rFonts w:ascii="Times New Roman" w:hAnsi="Times New Roman"/>
                <w:lang w:eastAsia="zh-Hans"/>
              </w:rPr>
            </w:pPr>
            <w:r>
              <w:rPr>
                <w:rFonts w:ascii="Times New Roman" w:hAnsi="Times New Roman" w:eastAsia="宋体"/>
                <w:kern w:val="0"/>
                <w:szCs w:val="21"/>
                <w:lang w:bidi="ar"/>
              </w:rPr>
              <w:t>10</w:t>
            </w:r>
          </w:p>
        </w:tc>
        <w:tc>
          <w:tcPr>
            <w:tcW w:w="2127" w:type="dxa"/>
            <w:vMerge w:val="restart"/>
            <w:vAlign w:val="center"/>
          </w:tcPr>
          <w:p w14:paraId="0A537280">
            <w:pPr>
              <w:jc w:val="center"/>
              <w:rPr>
                <w:rFonts w:ascii="Times New Roman" w:hAnsi="Times New Roman"/>
                <w:lang w:eastAsia="zh-Hans"/>
              </w:rPr>
            </w:pPr>
            <w:r>
              <w:rPr>
                <w:rFonts w:ascii="Times New Roman" w:hAnsi="Times New Roman" w:eastAsia="宋体"/>
                <w:kern w:val="0"/>
                <w:szCs w:val="21"/>
                <w:lang w:bidi="ar"/>
              </w:rPr>
              <w:t>未达标准，每次扣减5</w:t>
            </w:r>
            <w:r>
              <w:rPr>
                <w:rFonts w:ascii="Times New Roman" w:hAnsi="Times New Roman" w:eastAsia="宋体"/>
                <w:kern w:val="0"/>
                <w:szCs w:val="21"/>
                <w:lang w:eastAsia="zh-Hans" w:bidi="ar"/>
              </w:rPr>
              <w:t>分</w:t>
            </w:r>
          </w:p>
        </w:tc>
        <w:tc>
          <w:tcPr>
            <w:tcW w:w="992" w:type="dxa"/>
          </w:tcPr>
          <w:p w14:paraId="4A138EF6">
            <w:pPr>
              <w:rPr>
                <w:rFonts w:ascii="Times New Roman" w:hAnsi="Times New Roman"/>
                <w:lang w:eastAsia="zh-Hans"/>
              </w:rPr>
            </w:pPr>
          </w:p>
        </w:tc>
      </w:tr>
      <w:tr w14:paraId="1C89C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Pr>
          <w:p w14:paraId="1DDAA7C3">
            <w:pPr>
              <w:rPr>
                <w:rFonts w:ascii="Times New Roman" w:hAnsi="Times New Roman"/>
                <w:lang w:eastAsia="zh-Hans"/>
              </w:rPr>
            </w:pPr>
          </w:p>
        </w:tc>
        <w:tc>
          <w:tcPr>
            <w:tcW w:w="4483" w:type="dxa"/>
            <w:vAlign w:val="center"/>
          </w:tcPr>
          <w:p w14:paraId="773AE5E2">
            <w:pPr>
              <w:jc w:val="center"/>
              <w:rPr>
                <w:rFonts w:ascii="Times New Roman" w:hAnsi="Times New Roman"/>
                <w:lang w:eastAsia="zh-Hans"/>
              </w:rPr>
            </w:pPr>
            <w:r>
              <w:rPr>
                <w:rFonts w:hint="eastAsia" w:ascii="Times New Roman" w:hAnsi="Times New Roman" w:eastAsia="宋体"/>
                <w:kern w:val="0"/>
                <w:szCs w:val="21"/>
                <w:lang w:eastAsia="zh-Hans" w:bidi="ar"/>
              </w:rPr>
              <w:t>落实现场卫生及交通要求，不影响工地正常作业</w:t>
            </w:r>
          </w:p>
        </w:tc>
        <w:tc>
          <w:tcPr>
            <w:tcW w:w="1187" w:type="dxa"/>
            <w:vAlign w:val="center"/>
          </w:tcPr>
          <w:p w14:paraId="61C366FF">
            <w:pPr>
              <w:jc w:val="center"/>
              <w:rPr>
                <w:rFonts w:ascii="Times New Roman" w:hAnsi="Times New Roman"/>
                <w:lang w:eastAsia="zh-Hans"/>
              </w:rPr>
            </w:pPr>
            <w:r>
              <w:rPr>
                <w:rFonts w:ascii="Times New Roman" w:hAnsi="Times New Roman" w:eastAsia="宋体"/>
                <w:kern w:val="0"/>
                <w:szCs w:val="21"/>
                <w:lang w:bidi="ar"/>
              </w:rPr>
              <w:t>10</w:t>
            </w:r>
          </w:p>
        </w:tc>
        <w:tc>
          <w:tcPr>
            <w:tcW w:w="2127" w:type="dxa"/>
            <w:vMerge w:val="continue"/>
          </w:tcPr>
          <w:p w14:paraId="264C9F17">
            <w:pPr>
              <w:rPr>
                <w:rFonts w:ascii="Times New Roman" w:hAnsi="Times New Roman"/>
                <w:lang w:eastAsia="zh-Hans"/>
              </w:rPr>
            </w:pPr>
          </w:p>
        </w:tc>
        <w:tc>
          <w:tcPr>
            <w:tcW w:w="992" w:type="dxa"/>
          </w:tcPr>
          <w:p w14:paraId="76C72C20">
            <w:pPr>
              <w:rPr>
                <w:rFonts w:ascii="Times New Roman" w:hAnsi="Times New Roman"/>
                <w:lang w:eastAsia="zh-Hans"/>
              </w:rPr>
            </w:pPr>
          </w:p>
        </w:tc>
      </w:tr>
      <w:tr w14:paraId="62B2E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Pr>
          <w:p w14:paraId="612866CB">
            <w:pPr>
              <w:rPr>
                <w:rFonts w:ascii="Times New Roman" w:hAnsi="Times New Roman"/>
                <w:lang w:eastAsia="zh-Hans"/>
              </w:rPr>
            </w:pPr>
          </w:p>
        </w:tc>
        <w:tc>
          <w:tcPr>
            <w:tcW w:w="4483" w:type="dxa"/>
            <w:vAlign w:val="center"/>
          </w:tcPr>
          <w:p w14:paraId="6CC590B6">
            <w:pPr>
              <w:jc w:val="center"/>
              <w:rPr>
                <w:rFonts w:ascii="Times New Roman" w:hAnsi="Times New Roman"/>
                <w:lang w:eastAsia="zh-Hans"/>
              </w:rPr>
            </w:pPr>
            <w:r>
              <w:rPr>
                <w:rFonts w:hint="eastAsia" w:ascii="Times New Roman" w:hAnsi="Times New Roman" w:eastAsia="宋体"/>
                <w:kern w:val="0"/>
                <w:szCs w:val="21"/>
                <w:lang w:eastAsia="zh-Hans" w:bidi="ar"/>
              </w:rPr>
              <w:t>安全措施沟通及管理到位</w:t>
            </w:r>
          </w:p>
        </w:tc>
        <w:tc>
          <w:tcPr>
            <w:tcW w:w="1187" w:type="dxa"/>
            <w:vAlign w:val="center"/>
          </w:tcPr>
          <w:p w14:paraId="1E6BDBFC">
            <w:pPr>
              <w:jc w:val="center"/>
              <w:rPr>
                <w:rFonts w:ascii="Times New Roman" w:hAnsi="Times New Roman"/>
                <w:lang w:eastAsia="zh-Hans"/>
              </w:rPr>
            </w:pPr>
            <w:r>
              <w:rPr>
                <w:rFonts w:ascii="Times New Roman" w:hAnsi="Times New Roman" w:eastAsia="宋体"/>
                <w:kern w:val="0"/>
                <w:szCs w:val="21"/>
                <w:lang w:bidi="ar"/>
              </w:rPr>
              <w:t>15</w:t>
            </w:r>
          </w:p>
        </w:tc>
        <w:tc>
          <w:tcPr>
            <w:tcW w:w="2127" w:type="dxa"/>
            <w:vMerge w:val="restart"/>
          </w:tcPr>
          <w:p w14:paraId="49F9954C">
            <w:pPr>
              <w:jc w:val="center"/>
              <w:rPr>
                <w:rFonts w:ascii="Times New Roman" w:hAnsi="Times New Roman"/>
                <w:lang w:eastAsia="zh-Hans"/>
              </w:rPr>
            </w:pPr>
            <w:r>
              <w:rPr>
                <w:rFonts w:ascii="Times New Roman" w:hAnsi="Times New Roman" w:eastAsia="宋体"/>
                <w:bCs/>
                <w:kern w:val="0"/>
                <w:szCs w:val="21"/>
                <w:lang w:bidi="ar"/>
              </w:rPr>
              <w:t>未达标准，每次扣减5分</w:t>
            </w:r>
            <w:r>
              <w:rPr>
                <w:rFonts w:ascii="Times New Roman" w:hAnsi="Times New Roman" w:eastAsia="宋体"/>
                <w:bCs/>
                <w:kern w:val="0"/>
                <w:szCs w:val="21"/>
                <w:lang w:eastAsia="zh-Hans" w:bidi="ar"/>
              </w:rPr>
              <w:t>，出现重大错漏本项不得分</w:t>
            </w:r>
          </w:p>
        </w:tc>
        <w:tc>
          <w:tcPr>
            <w:tcW w:w="992" w:type="dxa"/>
          </w:tcPr>
          <w:p w14:paraId="2103E51C">
            <w:pPr>
              <w:rPr>
                <w:rFonts w:ascii="Times New Roman" w:hAnsi="Times New Roman"/>
                <w:lang w:eastAsia="zh-Hans"/>
              </w:rPr>
            </w:pPr>
          </w:p>
        </w:tc>
      </w:tr>
      <w:tr w14:paraId="31B55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tcPr>
          <w:p w14:paraId="68FEDEAF">
            <w:pPr>
              <w:rPr>
                <w:rFonts w:ascii="Times New Roman" w:hAnsi="Times New Roman"/>
                <w:lang w:eastAsia="zh-Hans"/>
              </w:rPr>
            </w:pPr>
          </w:p>
        </w:tc>
        <w:tc>
          <w:tcPr>
            <w:tcW w:w="4483" w:type="dxa"/>
            <w:vAlign w:val="center"/>
          </w:tcPr>
          <w:p w14:paraId="11557299">
            <w:pPr>
              <w:jc w:val="center"/>
              <w:rPr>
                <w:rFonts w:ascii="Times New Roman" w:hAnsi="Times New Roman"/>
                <w:lang w:eastAsia="zh-Hans"/>
              </w:rPr>
            </w:pPr>
            <w:r>
              <w:rPr>
                <w:rFonts w:hint="eastAsia" w:ascii="Times New Roman" w:hAnsi="Times New Roman" w:eastAsia="宋体"/>
                <w:kern w:val="0"/>
                <w:szCs w:val="21"/>
                <w:lang w:eastAsia="zh-Hans" w:bidi="ar"/>
              </w:rPr>
              <w:t>在合同约定工期内完工</w:t>
            </w:r>
          </w:p>
        </w:tc>
        <w:tc>
          <w:tcPr>
            <w:tcW w:w="1187" w:type="dxa"/>
            <w:vAlign w:val="center"/>
          </w:tcPr>
          <w:p w14:paraId="3A217B0A">
            <w:pPr>
              <w:jc w:val="center"/>
              <w:rPr>
                <w:rFonts w:ascii="Times New Roman" w:hAnsi="Times New Roman"/>
                <w:lang w:eastAsia="zh-Hans"/>
              </w:rPr>
            </w:pPr>
            <w:r>
              <w:rPr>
                <w:rFonts w:ascii="Times New Roman" w:hAnsi="Times New Roman" w:eastAsia="宋体"/>
                <w:kern w:val="0"/>
                <w:szCs w:val="21"/>
                <w:lang w:bidi="ar"/>
              </w:rPr>
              <w:t>15</w:t>
            </w:r>
          </w:p>
        </w:tc>
        <w:tc>
          <w:tcPr>
            <w:tcW w:w="2127" w:type="dxa"/>
            <w:vMerge w:val="continue"/>
          </w:tcPr>
          <w:p w14:paraId="72DB7895">
            <w:pPr>
              <w:rPr>
                <w:rFonts w:ascii="Times New Roman" w:hAnsi="Times New Roman"/>
                <w:lang w:eastAsia="zh-Hans"/>
              </w:rPr>
            </w:pPr>
          </w:p>
        </w:tc>
        <w:tc>
          <w:tcPr>
            <w:tcW w:w="992" w:type="dxa"/>
          </w:tcPr>
          <w:p w14:paraId="34701FA1">
            <w:pPr>
              <w:rPr>
                <w:rFonts w:ascii="Times New Roman" w:hAnsi="Times New Roman"/>
                <w:lang w:eastAsia="zh-Hans"/>
              </w:rPr>
            </w:pPr>
          </w:p>
        </w:tc>
      </w:tr>
      <w:tr w14:paraId="59492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8" w:type="dxa"/>
            <w:gridSpan w:val="4"/>
            <w:vAlign w:val="center"/>
          </w:tcPr>
          <w:p w14:paraId="4058DC28">
            <w:pPr>
              <w:jc w:val="center"/>
              <w:rPr>
                <w:rFonts w:ascii="Times New Roman" w:hAnsi="Times New Roman"/>
                <w:lang w:eastAsia="zh-Hans"/>
              </w:rPr>
            </w:pPr>
            <w:r>
              <w:rPr>
                <w:rFonts w:ascii="Times New Roman" w:hAnsi="Times New Roman" w:eastAsia="宋体"/>
                <w:szCs w:val="21"/>
                <w:lang w:eastAsia="zh-Hans"/>
              </w:rPr>
              <w:t>得分合计</w:t>
            </w:r>
          </w:p>
        </w:tc>
        <w:tc>
          <w:tcPr>
            <w:tcW w:w="992" w:type="dxa"/>
          </w:tcPr>
          <w:p w14:paraId="13946657">
            <w:pPr>
              <w:rPr>
                <w:rFonts w:ascii="Times New Roman" w:hAnsi="Times New Roman"/>
                <w:lang w:eastAsia="zh-Hans"/>
              </w:rPr>
            </w:pPr>
          </w:p>
        </w:tc>
      </w:tr>
      <w:tr w14:paraId="77A6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0" w:type="dxa"/>
            <w:gridSpan w:val="5"/>
          </w:tcPr>
          <w:p w14:paraId="0AD83D05">
            <w:pPr>
              <w:jc w:val="center"/>
              <w:rPr>
                <w:rFonts w:ascii="Times New Roman" w:hAnsi="Times New Roman" w:eastAsia="宋体"/>
              </w:rPr>
            </w:pPr>
            <w:r>
              <w:rPr>
                <w:rFonts w:ascii="Times New Roman" w:hAnsi="Times New Roman" w:eastAsia="宋体"/>
                <w:b/>
                <w:kern w:val="0"/>
                <w:szCs w:val="21"/>
                <w:lang w:eastAsia="zh-Hans" w:bidi="ar"/>
              </w:rPr>
              <w:t>备注：甲方授权代表人对以上情况进行评分，满分为100分，</w:t>
            </w:r>
            <w:r>
              <w:rPr>
                <w:rFonts w:hint="eastAsia" w:ascii="Times New Roman" w:hAnsi="Times New Roman" w:eastAsia="宋体"/>
                <w:b/>
                <w:kern w:val="0"/>
                <w:szCs w:val="21"/>
                <w:lang w:eastAsia="zh-Hans" w:bidi="ar"/>
              </w:rPr>
              <w:t>90-100为优；80-90（不含）为良；60-80（不含）为合格；少于60为不合格</w:t>
            </w:r>
            <w:r>
              <w:rPr>
                <w:rFonts w:hint="eastAsia" w:ascii="Times New Roman" w:hAnsi="Times New Roman" w:eastAsia="宋体"/>
                <w:b/>
                <w:kern w:val="0"/>
                <w:szCs w:val="21"/>
                <w:lang w:bidi="ar"/>
              </w:rPr>
              <w:t>。</w:t>
            </w:r>
          </w:p>
        </w:tc>
      </w:tr>
    </w:tbl>
    <w:p w14:paraId="413055E1">
      <w:pPr>
        <w:pStyle w:val="19"/>
        <w:numPr>
          <w:ilvl w:val="255"/>
          <w:numId w:val="0"/>
        </w:numPr>
        <w:spacing w:line="360" w:lineRule="auto"/>
        <w:outlineLvl w:val="0"/>
        <w:rPr>
          <w:lang w:eastAsia="zh-Hans"/>
        </w:rPr>
      </w:pPr>
    </w:p>
    <w:p w14:paraId="0077F8C0">
      <w:pPr>
        <w:widowControl/>
        <w:spacing w:line="360" w:lineRule="auto"/>
        <w:ind w:firstLine="640" w:firstLineChars="200"/>
        <w:jc w:val="left"/>
        <w:rPr>
          <w:rFonts w:hint="eastAsia" w:ascii="宋体" w:hAnsi="宋体" w:eastAsia="宋体" w:cs="宋体"/>
          <w:sz w:val="32"/>
          <w:szCs w:val="32"/>
          <w:lang w:bidi="ar"/>
        </w:rPr>
        <w:sectPr>
          <w:footerReference r:id="rId3" w:type="default"/>
          <w:pgSz w:w="11905" w:h="16838"/>
          <w:pgMar w:top="1417" w:right="1417" w:bottom="1417" w:left="1417" w:header="851" w:footer="850" w:gutter="0"/>
          <w:pgBorders>
            <w:top w:val="none" w:sz="0" w:space="0"/>
            <w:left w:val="none" w:sz="0" w:space="0"/>
            <w:bottom w:val="none" w:sz="0" w:space="0"/>
            <w:right w:val="none" w:sz="0" w:space="0"/>
          </w:pgBorders>
          <w:cols w:space="0" w:num="1"/>
          <w:docGrid w:type="lines" w:linePitch="312" w:charSpace="0"/>
        </w:sectPr>
      </w:pPr>
    </w:p>
    <w:p w14:paraId="076DE085">
      <w:pPr>
        <w:pStyle w:val="19"/>
        <w:numPr>
          <w:ilvl w:val="0"/>
          <w:numId w:val="3"/>
        </w:numPr>
        <w:spacing w:line="360" w:lineRule="auto"/>
        <w:ind w:left="491" w:hanging="705" w:firstLineChars="0"/>
        <w:outlineLvl w:val="0"/>
        <w:rPr>
          <w:rFonts w:hint="eastAsia" w:ascii="宋体" w:hAnsi="宋体" w:cs="宋体"/>
          <w:b/>
          <w:snapToGrid w:val="0"/>
          <w:sz w:val="30"/>
          <w:szCs w:val="30"/>
          <w:lang w:val="zh-CN"/>
        </w:rPr>
      </w:pPr>
      <w:r>
        <w:rPr>
          <w:rFonts w:hint="eastAsia" w:ascii="宋体" w:hAnsi="宋体" w:cs="宋体"/>
          <w:b/>
          <w:snapToGrid w:val="0"/>
          <w:sz w:val="30"/>
          <w:szCs w:val="30"/>
          <w:lang w:val="zh-CN"/>
        </w:rPr>
        <w:t>《2025年度河套壹号项目楼体幕墙发光字制作及安装方案》</w:t>
      </w:r>
    </w:p>
    <w:p w14:paraId="1895BB71">
      <w:pPr>
        <w:pStyle w:val="19"/>
        <w:spacing w:line="360" w:lineRule="auto"/>
        <w:ind w:left="-214" w:firstLine="0" w:firstLineChars="0"/>
        <w:outlineLvl w:val="0"/>
        <w:rPr>
          <w:rFonts w:hint="eastAsia" w:ascii="宋体" w:hAnsi="宋体" w:cs="宋体"/>
          <w:b/>
          <w:snapToGrid w:val="0"/>
          <w:sz w:val="30"/>
          <w:szCs w:val="30"/>
          <w:lang w:val="zh-CN"/>
        </w:rPr>
      </w:pPr>
    </w:p>
    <w:sectPr>
      <w:pgSz w:w="11905" w:h="16838"/>
      <w:pgMar w:top="1417" w:right="1417" w:bottom="1417" w:left="1417" w:header="851" w:footer="850" w:gutter="0"/>
      <w:pgBorders>
        <w:top w:val="none" w:sz="0" w:space="0"/>
        <w:left w:val="none" w:sz="0" w:space="0"/>
        <w:bottom w:val="none" w:sz="0" w:space="0"/>
        <w:right w:val="none" w:sz="0" w:space="0"/>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14378">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6813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681355"/>
                      </a:xfrm>
                      <a:prstGeom prst="rect">
                        <a:avLst/>
                      </a:prstGeom>
                      <a:noFill/>
                      <a:ln>
                        <a:noFill/>
                      </a:ln>
                    </wps:spPr>
                    <wps:txbx>
                      <w:txbxContent>
                        <w:p w14:paraId="03FB1978">
                          <w:pPr>
                            <w:pStyle w:val="9"/>
                          </w:pPr>
                          <w:r>
                            <w:fldChar w:fldCharType="begin"/>
                          </w:r>
                          <w:r>
                            <w:instrText xml:space="preserve"> PAGE  \* MERGEFORMAT </w:instrText>
                          </w:r>
                          <w:r>
                            <w:fldChar w:fldCharType="separate"/>
                          </w:r>
                          <w:r>
                            <w:t>122</w:t>
                          </w:r>
                          <w:r>
                            <w:fldChar w:fldCharType="end"/>
                          </w:r>
                        </w:p>
                      </w:txbxContent>
                    </wps:txbx>
                    <wps:bodyPr wrap="none" lIns="0" tIns="0" rIns="0" bIns="0"/>
                  </wps:wsp>
                </a:graphicData>
              </a:graphic>
            </wp:anchor>
          </w:drawing>
        </mc:Choice>
        <mc:Fallback>
          <w:pict>
            <v:shape id="_x0000_s1026" o:spid="_x0000_s1026" o:spt="202" type="#_x0000_t202" style="position:absolute;left:0pt;margin-top:0pt;height:53.65pt;width:144pt;mso-position-horizontal:center;mso-position-horizontal-relative:margin;mso-wrap-style:none;z-index:251659264;mso-width-relative:page;mso-height-relative:page;" filled="f" stroked="f" coordsize="21600,21600" o:gfxdata="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oBkqg0gAAAAUBAAAPAAAAAAAAAAEAIAAAACIAAABkcnMvZG93bnJldi54bWxQSwECFAAUAAAA&#10;CACHTuJABK9r27sBAAByAwAADgAAAAAAAAABACAAAAAhAQAAZHJzL2Uyb0RvYy54bWxQSwUGAAAA&#10;AAYABgBZAQAATgUAAAAA&#10;">
              <v:fill on="f" focussize="0,0"/>
              <v:stroke on="f"/>
              <v:imagedata o:title=""/>
              <o:lock v:ext="edit" aspectratio="f"/>
              <v:textbox inset="0mm,0mm,0mm,0mm">
                <w:txbxContent>
                  <w:p w14:paraId="03FB1978">
                    <w:pPr>
                      <w:pStyle w:val="9"/>
                    </w:pPr>
                    <w:r>
                      <w:fldChar w:fldCharType="begin"/>
                    </w:r>
                    <w:r>
                      <w:instrText xml:space="preserve"> PAGE  \* MERGEFORMAT </w:instrText>
                    </w:r>
                    <w:r>
                      <w:fldChar w:fldCharType="separate"/>
                    </w:r>
                    <w:r>
                      <w:t>122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7202C9"/>
    <w:multiLevelType w:val="singleLevel"/>
    <w:tmpl w:val="147202C9"/>
    <w:lvl w:ilvl="0" w:tentative="0">
      <w:start w:val="1"/>
      <w:numFmt w:val="chineseCounting"/>
      <w:suff w:val="nothing"/>
      <w:lvlText w:val="（%1）"/>
      <w:lvlJc w:val="left"/>
      <w:pPr>
        <w:ind w:left="0" w:firstLine="420"/>
      </w:pPr>
      <w:rPr>
        <w:rFonts w:hint="eastAsia"/>
      </w:rPr>
    </w:lvl>
  </w:abstractNum>
  <w:abstractNum w:abstractNumId="1">
    <w:nsid w:val="45C42C9A"/>
    <w:multiLevelType w:val="multilevel"/>
    <w:tmpl w:val="45C42C9A"/>
    <w:lvl w:ilvl="0" w:tentative="0">
      <w:start w:val="1"/>
      <w:numFmt w:val="decimal"/>
      <w:pStyle w:val="23"/>
      <w:lvlText w:val="%1"/>
      <w:lvlJc w:val="left"/>
      <w:pPr>
        <w:tabs>
          <w:tab w:val="left" w:pos="4032"/>
        </w:tabs>
        <w:ind w:left="4032" w:hanging="432"/>
      </w:pPr>
    </w:lvl>
    <w:lvl w:ilvl="1" w:tentative="0">
      <w:start w:val="1"/>
      <w:numFmt w:val="decimal"/>
      <w:lvlText w:val="%1.%2"/>
      <w:lvlJc w:val="left"/>
      <w:pPr>
        <w:tabs>
          <w:tab w:val="left" w:pos="576"/>
        </w:tabs>
        <w:ind w:left="576" w:hanging="576"/>
      </w:pPr>
      <w:rPr>
        <w:strike w:val="0"/>
        <w:color w:val="auto"/>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2">
    <w:nsid w:val="6A9B0330"/>
    <w:multiLevelType w:val="multilevel"/>
    <w:tmpl w:val="6A9B0330"/>
    <w:lvl w:ilvl="0" w:tentative="0">
      <w:start w:val="1"/>
      <w:numFmt w:val="decimal"/>
      <w:suff w:val="nothing"/>
      <w:lvlText w:val="附件%1："/>
      <w:lvlJc w:val="left"/>
      <w:pPr>
        <w:ind w:left="49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ZmU1YWEzNzE4MDQ0MjI1MTIxMTc0MWExY2YyZjAifQ=="/>
  </w:docVars>
  <w:rsids>
    <w:rsidRoot w:val="00361B52"/>
    <w:rsid w:val="00002603"/>
    <w:rsid w:val="00015932"/>
    <w:rsid w:val="00036382"/>
    <w:rsid w:val="00044CF2"/>
    <w:rsid w:val="00077FB6"/>
    <w:rsid w:val="000A6724"/>
    <w:rsid w:val="000C7E5C"/>
    <w:rsid w:val="000D1A78"/>
    <w:rsid w:val="000F10F0"/>
    <w:rsid w:val="000F3F54"/>
    <w:rsid w:val="00101883"/>
    <w:rsid w:val="001139DF"/>
    <w:rsid w:val="00121F00"/>
    <w:rsid w:val="00125337"/>
    <w:rsid w:val="00143F10"/>
    <w:rsid w:val="00146303"/>
    <w:rsid w:val="001571E0"/>
    <w:rsid w:val="001630F3"/>
    <w:rsid w:val="00186EAF"/>
    <w:rsid w:val="001A28A5"/>
    <w:rsid w:val="001A6604"/>
    <w:rsid w:val="001D6930"/>
    <w:rsid w:val="001D7259"/>
    <w:rsid w:val="00204A53"/>
    <w:rsid w:val="0023403A"/>
    <w:rsid w:val="0025367B"/>
    <w:rsid w:val="00257628"/>
    <w:rsid w:val="002626EA"/>
    <w:rsid w:val="00267202"/>
    <w:rsid w:val="00273994"/>
    <w:rsid w:val="00282EDC"/>
    <w:rsid w:val="0029513A"/>
    <w:rsid w:val="002B0E28"/>
    <w:rsid w:val="002B27B4"/>
    <w:rsid w:val="002C31A4"/>
    <w:rsid w:val="002F4C55"/>
    <w:rsid w:val="00315544"/>
    <w:rsid w:val="00350783"/>
    <w:rsid w:val="00353D61"/>
    <w:rsid w:val="00361B52"/>
    <w:rsid w:val="00377BED"/>
    <w:rsid w:val="00380145"/>
    <w:rsid w:val="003813E4"/>
    <w:rsid w:val="00397ED8"/>
    <w:rsid w:val="003A4649"/>
    <w:rsid w:val="003B3209"/>
    <w:rsid w:val="003E0A64"/>
    <w:rsid w:val="003E565B"/>
    <w:rsid w:val="003F1822"/>
    <w:rsid w:val="004219CF"/>
    <w:rsid w:val="00424A1B"/>
    <w:rsid w:val="004319E6"/>
    <w:rsid w:val="00437D5E"/>
    <w:rsid w:val="004578AA"/>
    <w:rsid w:val="00460678"/>
    <w:rsid w:val="00461E78"/>
    <w:rsid w:val="00464A20"/>
    <w:rsid w:val="00467249"/>
    <w:rsid w:val="004A436A"/>
    <w:rsid w:val="004B165A"/>
    <w:rsid w:val="004B43E0"/>
    <w:rsid w:val="004D2AF2"/>
    <w:rsid w:val="004D6050"/>
    <w:rsid w:val="004D6BA3"/>
    <w:rsid w:val="004D7FD2"/>
    <w:rsid w:val="004E28BC"/>
    <w:rsid w:val="004F04F1"/>
    <w:rsid w:val="00504D70"/>
    <w:rsid w:val="00507B6E"/>
    <w:rsid w:val="00517148"/>
    <w:rsid w:val="00532F38"/>
    <w:rsid w:val="00581D05"/>
    <w:rsid w:val="005A5589"/>
    <w:rsid w:val="005A6696"/>
    <w:rsid w:val="005B09CC"/>
    <w:rsid w:val="005B4E31"/>
    <w:rsid w:val="005C2B71"/>
    <w:rsid w:val="005C3065"/>
    <w:rsid w:val="005C592E"/>
    <w:rsid w:val="005D3C17"/>
    <w:rsid w:val="005D3D3C"/>
    <w:rsid w:val="005D70B3"/>
    <w:rsid w:val="005E1B1E"/>
    <w:rsid w:val="00600C32"/>
    <w:rsid w:val="0063601E"/>
    <w:rsid w:val="00637D75"/>
    <w:rsid w:val="00645C84"/>
    <w:rsid w:val="00647AD7"/>
    <w:rsid w:val="00651048"/>
    <w:rsid w:val="00672B94"/>
    <w:rsid w:val="00694E9E"/>
    <w:rsid w:val="006C07E7"/>
    <w:rsid w:val="006C3E8F"/>
    <w:rsid w:val="006E3276"/>
    <w:rsid w:val="006E5456"/>
    <w:rsid w:val="007308A8"/>
    <w:rsid w:val="007350AE"/>
    <w:rsid w:val="0074220A"/>
    <w:rsid w:val="00746976"/>
    <w:rsid w:val="0077693E"/>
    <w:rsid w:val="007812B0"/>
    <w:rsid w:val="00785754"/>
    <w:rsid w:val="007A6F42"/>
    <w:rsid w:val="007C2869"/>
    <w:rsid w:val="007F74FC"/>
    <w:rsid w:val="00812356"/>
    <w:rsid w:val="00823903"/>
    <w:rsid w:val="00826CE9"/>
    <w:rsid w:val="00841B3B"/>
    <w:rsid w:val="008464D4"/>
    <w:rsid w:val="0086125A"/>
    <w:rsid w:val="008945B2"/>
    <w:rsid w:val="008C49AE"/>
    <w:rsid w:val="008C54C2"/>
    <w:rsid w:val="008C658D"/>
    <w:rsid w:val="008D0BE1"/>
    <w:rsid w:val="008D73F4"/>
    <w:rsid w:val="0092471B"/>
    <w:rsid w:val="00933B26"/>
    <w:rsid w:val="009517BA"/>
    <w:rsid w:val="00960478"/>
    <w:rsid w:val="00964AB2"/>
    <w:rsid w:val="00966E00"/>
    <w:rsid w:val="009720B2"/>
    <w:rsid w:val="00974854"/>
    <w:rsid w:val="009A11A8"/>
    <w:rsid w:val="009C4147"/>
    <w:rsid w:val="009F017F"/>
    <w:rsid w:val="009F5147"/>
    <w:rsid w:val="00A07D12"/>
    <w:rsid w:val="00A11A9B"/>
    <w:rsid w:val="00A3341E"/>
    <w:rsid w:val="00A341CE"/>
    <w:rsid w:val="00A42D29"/>
    <w:rsid w:val="00A52F13"/>
    <w:rsid w:val="00A67C5B"/>
    <w:rsid w:val="00A90394"/>
    <w:rsid w:val="00AB4801"/>
    <w:rsid w:val="00AD284F"/>
    <w:rsid w:val="00AF5ABF"/>
    <w:rsid w:val="00AF6C2C"/>
    <w:rsid w:val="00B1628C"/>
    <w:rsid w:val="00B42EDF"/>
    <w:rsid w:val="00B43290"/>
    <w:rsid w:val="00B92F54"/>
    <w:rsid w:val="00BA2596"/>
    <w:rsid w:val="00BD0F24"/>
    <w:rsid w:val="00BE03D5"/>
    <w:rsid w:val="00BF0B40"/>
    <w:rsid w:val="00C02CB3"/>
    <w:rsid w:val="00C162BA"/>
    <w:rsid w:val="00C20E9F"/>
    <w:rsid w:val="00C27482"/>
    <w:rsid w:val="00C75B8D"/>
    <w:rsid w:val="00C97321"/>
    <w:rsid w:val="00CE45CA"/>
    <w:rsid w:val="00CF4D11"/>
    <w:rsid w:val="00CF50C5"/>
    <w:rsid w:val="00D01424"/>
    <w:rsid w:val="00D066C0"/>
    <w:rsid w:val="00D122B6"/>
    <w:rsid w:val="00D22DF2"/>
    <w:rsid w:val="00D236CC"/>
    <w:rsid w:val="00D32C80"/>
    <w:rsid w:val="00D421E1"/>
    <w:rsid w:val="00D4563E"/>
    <w:rsid w:val="00D569F1"/>
    <w:rsid w:val="00D65AC3"/>
    <w:rsid w:val="00D6712D"/>
    <w:rsid w:val="00D91427"/>
    <w:rsid w:val="00DA371C"/>
    <w:rsid w:val="00DA3E10"/>
    <w:rsid w:val="00DA50A7"/>
    <w:rsid w:val="00DB576A"/>
    <w:rsid w:val="00DE7DEF"/>
    <w:rsid w:val="00E140DC"/>
    <w:rsid w:val="00E311F8"/>
    <w:rsid w:val="00E42FF1"/>
    <w:rsid w:val="00E63E8C"/>
    <w:rsid w:val="00E6695F"/>
    <w:rsid w:val="00E81DC6"/>
    <w:rsid w:val="00EA39A4"/>
    <w:rsid w:val="00EA71B7"/>
    <w:rsid w:val="00EB7F59"/>
    <w:rsid w:val="00EC21ED"/>
    <w:rsid w:val="00EC4EAD"/>
    <w:rsid w:val="00ED3ABA"/>
    <w:rsid w:val="00ED420E"/>
    <w:rsid w:val="00ED4A62"/>
    <w:rsid w:val="00EE5905"/>
    <w:rsid w:val="00EF6BC6"/>
    <w:rsid w:val="00F04062"/>
    <w:rsid w:val="00F14904"/>
    <w:rsid w:val="00F22D30"/>
    <w:rsid w:val="00F23A79"/>
    <w:rsid w:val="00F51EDF"/>
    <w:rsid w:val="00F528E2"/>
    <w:rsid w:val="00F57A5D"/>
    <w:rsid w:val="00F63E34"/>
    <w:rsid w:val="00F72D71"/>
    <w:rsid w:val="00FA4A11"/>
    <w:rsid w:val="01553214"/>
    <w:rsid w:val="0374413D"/>
    <w:rsid w:val="03D80B70"/>
    <w:rsid w:val="03FF7DBF"/>
    <w:rsid w:val="047F2D99"/>
    <w:rsid w:val="04BF6F36"/>
    <w:rsid w:val="05055A52"/>
    <w:rsid w:val="056F2E0E"/>
    <w:rsid w:val="081951F9"/>
    <w:rsid w:val="08AF68CB"/>
    <w:rsid w:val="08C332B3"/>
    <w:rsid w:val="0A6A29FA"/>
    <w:rsid w:val="0A6F565E"/>
    <w:rsid w:val="0AD83203"/>
    <w:rsid w:val="0B0F0858"/>
    <w:rsid w:val="0D5C1E88"/>
    <w:rsid w:val="0FD3043D"/>
    <w:rsid w:val="11907FC2"/>
    <w:rsid w:val="11CF37E9"/>
    <w:rsid w:val="120B0362"/>
    <w:rsid w:val="12323B41"/>
    <w:rsid w:val="12EC463F"/>
    <w:rsid w:val="13C8187F"/>
    <w:rsid w:val="146D2C0E"/>
    <w:rsid w:val="14EF1875"/>
    <w:rsid w:val="165426A7"/>
    <w:rsid w:val="16587516"/>
    <w:rsid w:val="170F028B"/>
    <w:rsid w:val="172D045C"/>
    <w:rsid w:val="190E7BE4"/>
    <w:rsid w:val="19202574"/>
    <w:rsid w:val="19377C8F"/>
    <w:rsid w:val="193F08F1"/>
    <w:rsid w:val="1BB9498B"/>
    <w:rsid w:val="1D214EDE"/>
    <w:rsid w:val="1E70292D"/>
    <w:rsid w:val="1ED12E0A"/>
    <w:rsid w:val="1EED77E4"/>
    <w:rsid w:val="1F042A7D"/>
    <w:rsid w:val="1F132604"/>
    <w:rsid w:val="1F376CAB"/>
    <w:rsid w:val="1FF02946"/>
    <w:rsid w:val="1FF5295A"/>
    <w:rsid w:val="200D5831"/>
    <w:rsid w:val="20144573"/>
    <w:rsid w:val="2020147D"/>
    <w:rsid w:val="220404C2"/>
    <w:rsid w:val="226F3FF6"/>
    <w:rsid w:val="233463A5"/>
    <w:rsid w:val="23863CED"/>
    <w:rsid w:val="24796660"/>
    <w:rsid w:val="248D2E59"/>
    <w:rsid w:val="25A425EC"/>
    <w:rsid w:val="282D0BDB"/>
    <w:rsid w:val="286F495F"/>
    <w:rsid w:val="2A445C44"/>
    <w:rsid w:val="2A68171A"/>
    <w:rsid w:val="2BAC1E16"/>
    <w:rsid w:val="2C092BDE"/>
    <w:rsid w:val="2C1B0D4A"/>
    <w:rsid w:val="2CA23219"/>
    <w:rsid w:val="2DFE26D1"/>
    <w:rsid w:val="2E21634F"/>
    <w:rsid w:val="2EFF4D13"/>
    <w:rsid w:val="2FD43648"/>
    <w:rsid w:val="31760F83"/>
    <w:rsid w:val="324F174E"/>
    <w:rsid w:val="32D305D1"/>
    <w:rsid w:val="33FB7CC4"/>
    <w:rsid w:val="342503B4"/>
    <w:rsid w:val="35613C72"/>
    <w:rsid w:val="36BF1626"/>
    <w:rsid w:val="39957BFD"/>
    <w:rsid w:val="3B96BF29"/>
    <w:rsid w:val="3BBB64B3"/>
    <w:rsid w:val="3BC46A21"/>
    <w:rsid w:val="3C6B187A"/>
    <w:rsid w:val="3C905857"/>
    <w:rsid w:val="3CA01523"/>
    <w:rsid w:val="3D6D517E"/>
    <w:rsid w:val="3D7E4A03"/>
    <w:rsid w:val="3E691DE9"/>
    <w:rsid w:val="40760016"/>
    <w:rsid w:val="40E85247"/>
    <w:rsid w:val="41151DB4"/>
    <w:rsid w:val="416A0BF1"/>
    <w:rsid w:val="41C55588"/>
    <w:rsid w:val="433D6F10"/>
    <w:rsid w:val="437D5EC5"/>
    <w:rsid w:val="43C5746B"/>
    <w:rsid w:val="45B96EEE"/>
    <w:rsid w:val="46625A9C"/>
    <w:rsid w:val="470A2F62"/>
    <w:rsid w:val="477F9B79"/>
    <w:rsid w:val="47DF5D26"/>
    <w:rsid w:val="492617B5"/>
    <w:rsid w:val="4BE8727B"/>
    <w:rsid w:val="4D3D7846"/>
    <w:rsid w:val="4D862070"/>
    <w:rsid w:val="4DDC5991"/>
    <w:rsid w:val="4E604E55"/>
    <w:rsid w:val="4E8F764A"/>
    <w:rsid w:val="4FE237A9"/>
    <w:rsid w:val="5066027D"/>
    <w:rsid w:val="529D68E9"/>
    <w:rsid w:val="53285977"/>
    <w:rsid w:val="54BF40B9"/>
    <w:rsid w:val="55CA00B9"/>
    <w:rsid w:val="562457AF"/>
    <w:rsid w:val="570F42C6"/>
    <w:rsid w:val="574474AA"/>
    <w:rsid w:val="57B04F22"/>
    <w:rsid w:val="581F269B"/>
    <w:rsid w:val="58574AFD"/>
    <w:rsid w:val="5A4968FF"/>
    <w:rsid w:val="5B092532"/>
    <w:rsid w:val="5B3E0DD2"/>
    <w:rsid w:val="5B765216"/>
    <w:rsid w:val="5C427AAA"/>
    <w:rsid w:val="5CD346C3"/>
    <w:rsid w:val="5CEC2A44"/>
    <w:rsid w:val="5CFFA623"/>
    <w:rsid w:val="5D2B49E2"/>
    <w:rsid w:val="5DC664B8"/>
    <w:rsid w:val="5DF11787"/>
    <w:rsid w:val="5DF40409"/>
    <w:rsid w:val="5E733C70"/>
    <w:rsid w:val="5F5024DD"/>
    <w:rsid w:val="5F5B76FE"/>
    <w:rsid w:val="5FB23198"/>
    <w:rsid w:val="609B59DA"/>
    <w:rsid w:val="61426D41"/>
    <w:rsid w:val="62600C89"/>
    <w:rsid w:val="63BD5BE8"/>
    <w:rsid w:val="64224D2C"/>
    <w:rsid w:val="64B452BD"/>
    <w:rsid w:val="66A76486"/>
    <w:rsid w:val="66FC2F4B"/>
    <w:rsid w:val="67EB6466"/>
    <w:rsid w:val="696537BD"/>
    <w:rsid w:val="6BE566A3"/>
    <w:rsid w:val="6CD2305F"/>
    <w:rsid w:val="6CDC3602"/>
    <w:rsid w:val="6CF22E26"/>
    <w:rsid w:val="6DFDB1C1"/>
    <w:rsid w:val="6F496C60"/>
    <w:rsid w:val="704A4D27"/>
    <w:rsid w:val="70B92213"/>
    <w:rsid w:val="710E3FA6"/>
    <w:rsid w:val="71CB6FE8"/>
    <w:rsid w:val="728F33B9"/>
    <w:rsid w:val="732C6966"/>
    <w:rsid w:val="73DE5EB2"/>
    <w:rsid w:val="74C34B59"/>
    <w:rsid w:val="753D6043"/>
    <w:rsid w:val="77FFE4A6"/>
    <w:rsid w:val="7B7F714C"/>
    <w:rsid w:val="7BD7C563"/>
    <w:rsid w:val="7C26D37A"/>
    <w:rsid w:val="7D7FA6C3"/>
    <w:rsid w:val="7F77FDB8"/>
    <w:rsid w:val="7F9E2999"/>
    <w:rsid w:val="7FEE5849"/>
    <w:rsid w:val="7FF7CE6D"/>
    <w:rsid w:val="8EF71920"/>
    <w:rsid w:val="97B5913E"/>
    <w:rsid w:val="9F575BC0"/>
    <w:rsid w:val="9FC77291"/>
    <w:rsid w:val="ADEBCEC0"/>
    <w:rsid w:val="BDA72563"/>
    <w:rsid w:val="BEBF3D1A"/>
    <w:rsid w:val="BFDF5692"/>
    <w:rsid w:val="BFFBD186"/>
    <w:rsid w:val="D77FA27D"/>
    <w:rsid w:val="D7F26351"/>
    <w:rsid w:val="F1DB3C8F"/>
    <w:rsid w:val="FBDDC8C7"/>
    <w:rsid w:val="FEBF7523"/>
    <w:rsid w:val="FF9D8314"/>
    <w:rsid w:val="FFF7EA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qFormat/>
    <w:uiPriority w:val="0"/>
    <w:pPr>
      <w:keepNext/>
      <w:keepLines/>
      <w:outlineLvl w:val="0"/>
    </w:pPr>
    <w:rPr>
      <w:b/>
      <w:bCs/>
      <w:kern w:val="44"/>
      <w:sz w:val="28"/>
      <w:szCs w:val="44"/>
    </w:rPr>
  </w:style>
  <w:style w:type="paragraph" w:styleId="3">
    <w:name w:val="heading 2"/>
    <w:basedOn w:val="1"/>
    <w:next w:val="1"/>
    <w:qFormat/>
    <w:uiPriority w:val="0"/>
    <w:pPr>
      <w:spacing w:before="260" w:after="260"/>
      <w:jc w:val="center"/>
      <w:outlineLvl w:val="1"/>
    </w:pPr>
    <w:rPr>
      <w:rFonts w:ascii="华文细黑" w:hAnsi="Arial"/>
      <w:b/>
      <w:bCs/>
      <w:sz w:val="44"/>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jc w:val="left"/>
    </w:pPr>
    <w:rPr>
      <w:rFonts w:ascii="Times New Roman" w:hAnsi="Times New Roman" w:eastAsia="宋体"/>
      <w:sz w:val="24"/>
      <w:szCs w:val="24"/>
    </w:rPr>
  </w:style>
  <w:style w:type="paragraph" w:styleId="5">
    <w:name w:val="annotation text"/>
    <w:basedOn w:val="1"/>
    <w:link w:val="25"/>
    <w:qFormat/>
    <w:uiPriority w:val="0"/>
    <w:rPr>
      <w:rFonts w:eastAsiaTheme="minorEastAsia" w:cstheme="minorBidi"/>
    </w:rPr>
  </w:style>
  <w:style w:type="paragraph" w:styleId="6">
    <w:name w:val="Body Text Indent"/>
    <w:basedOn w:val="1"/>
    <w:next w:val="7"/>
    <w:qFormat/>
    <w:uiPriority w:val="0"/>
    <w:pPr>
      <w:spacing w:line="360" w:lineRule="auto"/>
      <w:ind w:firstLine="630"/>
    </w:pPr>
    <w:rPr>
      <w:szCs w:val="20"/>
    </w:rPr>
  </w:style>
  <w:style w:type="paragraph" w:styleId="7">
    <w:name w:val="envelope return"/>
    <w:basedOn w:val="1"/>
    <w:qFormat/>
    <w:uiPriority w:val="0"/>
    <w:rPr>
      <w:rFonts w:ascii="Arial" w:hAnsi="Arial"/>
    </w:rPr>
  </w:style>
  <w:style w:type="paragraph" w:styleId="8">
    <w:name w:val="Plain Text"/>
    <w:basedOn w:val="1"/>
    <w:qFormat/>
    <w:uiPriority w:val="0"/>
    <w:rPr>
      <w:rFonts w:ascii="宋体" w:hAnsi="Courier New"/>
      <w:szCs w:val="20"/>
    </w:rPr>
  </w:style>
  <w:style w:type="paragraph" w:styleId="9">
    <w:name w:val="footer"/>
    <w:basedOn w:val="1"/>
    <w:unhideWhenUsed/>
    <w:qFormat/>
    <w:uiPriority w:val="99"/>
    <w:pPr>
      <w:tabs>
        <w:tab w:val="center" w:pos="4153"/>
        <w:tab w:val="right" w:pos="8306"/>
      </w:tabs>
      <w:snapToGrid w:val="0"/>
      <w:jc w:val="left"/>
    </w:pPr>
    <w:rPr>
      <w:rFonts w:ascii="Times New Roman" w:hAnsi="Times New Roman" w:eastAsia="宋体"/>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unhideWhenUsed/>
    <w:qFormat/>
    <w:uiPriority w:val="99"/>
    <w:rPr>
      <w:rFonts w:ascii="Calibri" w:hAnsi="Calibri" w:eastAsia="宋体" w:cs="Calibri"/>
      <w:sz w:val="24"/>
    </w:rPr>
  </w:style>
  <w:style w:type="paragraph" w:styleId="12">
    <w:name w:val="annotation subject"/>
    <w:basedOn w:val="5"/>
    <w:next w:val="5"/>
    <w:link w:val="26"/>
    <w:qFormat/>
    <w:uiPriority w:val="0"/>
    <w:pPr>
      <w:jc w:val="left"/>
    </w:pPr>
    <w:rPr>
      <w:rFonts w:eastAsia="等线" w:cs="Times New Roman"/>
      <w:b/>
      <w:bCs/>
    </w:rPr>
  </w:style>
  <w:style w:type="paragraph" w:styleId="13">
    <w:name w:val="Body Text First Indent 2"/>
    <w:basedOn w:val="6"/>
    <w:qFormat/>
    <w:uiPriority w:val="0"/>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style>
  <w:style w:type="character" w:styleId="18">
    <w:name w:val="annotation reference"/>
    <w:basedOn w:val="16"/>
    <w:qFormat/>
    <w:uiPriority w:val="0"/>
    <w:rPr>
      <w:sz w:val="21"/>
      <w:szCs w:val="21"/>
    </w:rPr>
  </w:style>
  <w:style w:type="paragraph" w:styleId="19">
    <w:name w:val="List Paragraph"/>
    <w:basedOn w:val="20"/>
    <w:qFormat/>
    <w:uiPriority w:val="34"/>
    <w:pPr>
      <w:ind w:firstLine="420" w:firstLineChars="200"/>
    </w:pPr>
  </w:style>
  <w:style w:type="paragraph" w:customStyle="1" w:styleId="20">
    <w:name w:val="Normal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Normal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Normal_1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Heading 1_0"/>
    <w:basedOn w:val="21"/>
    <w:next w:val="21"/>
    <w:qFormat/>
    <w:uiPriority w:val="0"/>
    <w:pPr>
      <w:keepNext/>
      <w:keepLines/>
      <w:widowControl/>
      <w:numPr>
        <w:ilvl w:val="0"/>
        <w:numId w:val="1"/>
      </w:numPr>
      <w:spacing w:before="340" w:after="330"/>
      <w:jc w:val="left"/>
      <w:outlineLvl w:val="0"/>
    </w:pPr>
    <w:rPr>
      <w:rFonts w:ascii="华文细黑"/>
      <w:b/>
      <w:bCs/>
      <w:snapToGrid w:val="0"/>
      <w:kern w:val="0"/>
      <w:sz w:val="28"/>
      <w:szCs w:val="44"/>
      <w:lang w:val="zh-CN"/>
    </w:rPr>
  </w:style>
  <w:style w:type="paragraph" w:customStyle="1" w:styleId="24">
    <w:name w:val="修订1"/>
    <w:hidden/>
    <w:semiHidden/>
    <w:qFormat/>
    <w:uiPriority w:val="99"/>
    <w:rPr>
      <w:rFonts w:ascii="等线" w:hAnsi="等线" w:eastAsia="等线" w:cs="Times New Roman"/>
      <w:kern w:val="2"/>
      <w:sz w:val="21"/>
      <w:szCs w:val="22"/>
      <w:lang w:val="en-US" w:eastAsia="zh-CN" w:bidi="ar-SA"/>
    </w:rPr>
  </w:style>
  <w:style w:type="character" w:customStyle="1" w:styleId="25">
    <w:name w:val="批注文字 字符"/>
    <w:basedOn w:val="16"/>
    <w:link w:val="5"/>
    <w:qFormat/>
    <w:uiPriority w:val="0"/>
    <w:rPr>
      <w:rFonts w:ascii="等线" w:hAnsi="等线"/>
      <w:kern w:val="2"/>
      <w:sz w:val="21"/>
      <w:szCs w:val="22"/>
    </w:rPr>
  </w:style>
  <w:style w:type="character" w:customStyle="1" w:styleId="26">
    <w:name w:val="批注主题 字符"/>
    <w:basedOn w:val="25"/>
    <w:link w:val="12"/>
    <w:qFormat/>
    <w:uiPriority w:val="0"/>
    <w:rPr>
      <w:rFonts w:ascii="等线" w:hAnsi="等线" w:eastAsia="等线" w:cs="Times New Roman"/>
      <w:b/>
      <w:bCs/>
      <w:kern w:val="2"/>
      <w:sz w:val="21"/>
      <w:szCs w:val="22"/>
    </w:rPr>
  </w:style>
  <w:style w:type="paragraph" w:customStyle="1" w:styleId="27">
    <w:name w:val="NoteHeading"/>
    <w:basedOn w:val="1"/>
    <w:next w:val="1"/>
    <w:qFormat/>
    <w:uiPriority w:val="0"/>
    <w:pPr>
      <w:jc w:val="center"/>
    </w:pPr>
  </w:style>
  <w:style w:type="character" w:customStyle="1" w:styleId="28">
    <w:name w:val="font11"/>
    <w:basedOn w:val="16"/>
    <w:qFormat/>
    <w:uiPriority w:val="0"/>
    <w:rPr>
      <w:rFonts w:hint="eastAsia" w:ascii="宋体" w:hAnsi="宋体" w:eastAsia="宋体" w:cs="宋体"/>
      <w:b/>
      <w:bCs/>
      <w:color w:val="000000"/>
      <w:sz w:val="22"/>
      <w:szCs w:val="22"/>
      <w:u w:val="none"/>
    </w:rPr>
  </w:style>
  <w:style w:type="character" w:customStyle="1" w:styleId="29">
    <w:name w:val="font01"/>
    <w:basedOn w:val="16"/>
    <w:qFormat/>
    <w:uiPriority w:val="0"/>
    <w:rPr>
      <w:rFonts w:hint="eastAsia" w:ascii="宋体" w:hAnsi="宋体" w:eastAsia="宋体" w:cs="宋体"/>
      <w:b/>
      <w:bCs/>
      <w:color w:val="FF0000"/>
      <w:sz w:val="22"/>
      <w:szCs w:val="22"/>
      <w:u w:val="none"/>
    </w:rPr>
  </w:style>
  <w:style w:type="character" w:customStyle="1" w:styleId="30">
    <w:name w:val="font21"/>
    <w:basedOn w:val="16"/>
    <w:qFormat/>
    <w:uiPriority w:val="0"/>
    <w:rPr>
      <w:rFonts w:hint="eastAsia" w:ascii="宋体" w:hAnsi="宋体" w:eastAsia="宋体" w:cs="宋体"/>
      <w:b/>
      <w:bCs/>
      <w:color w:val="000000"/>
      <w:sz w:val="22"/>
      <w:szCs w:val="22"/>
      <w:u w:val="none"/>
    </w:rPr>
  </w:style>
  <w:style w:type="character" w:customStyle="1" w:styleId="31">
    <w:name w:val="font51"/>
    <w:basedOn w:val="16"/>
    <w:qFormat/>
    <w:uiPriority w:val="0"/>
    <w:rPr>
      <w:rFonts w:ascii="宋体" w:hAnsi="宋体" w:eastAsia="宋体" w:cs="宋体"/>
      <w:color w:val="000000"/>
      <w:sz w:val="18"/>
      <w:szCs w:val="18"/>
      <w:u w:val="none"/>
    </w:rPr>
  </w:style>
  <w:style w:type="character" w:customStyle="1" w:styleId="32">
    <w:name w:val="font112"/>
    <w:basedOn w:val="16"/>
    <w:qFormat/>
    <w:uiPriority w:val="0"/>
    <w:rPr>
      <w:rFonts w:hint="eastAsia" w:ascii="宋体" w:hAnsi="宋体" w:eastAsia="宋体" w:cs="宋体"/>
      <w:b/>
      <w:bCs/>
      <w:color w:val="000000"/>
      <w:sz w:val="20"/>
      <w:szCs w:val="20"/>
      <w:u w:val="none"/>
    </w:rPr>
  </w:style>
  <w:style w:type="character" w:customStyle="1" w:styleId="33">
    <w:name w:val="font121"/>
    <w:basedOn w:val="16"/>
    <w:qFormat/>
    <w:uiPriority w:val="0"/>
    <w:rPr>
      <w:rFonts w:hint="eastAsia" w:ascii="宋体" w:hAnsi="宋体" w:eastAsia="宋体" w:cs="宋体"/>
      <w:color w:val="000000"/>
      <w:sz w:val="20"/>
      <w:szCs w:val="20"/>
      <w:u w:val="none"/>
    </w:rPr>
  </w:style>
  <w:style w:type="character" w:customStyle="1" w:styleId="34">
    <w:name w:val="font71"/>
    <w:basedOn w:val="16"/>
    <w:qFormat/>
    <w:uiPriority w:val="0"/>
    <w:rPr>
      <w:rFonts w:hint="eastAsia" w:ascii="宋体" w:hAnsi="宋体" w:eastAsia="宋体" w:cs="宋体"/>
      <w:color w:val="FF0000"/>
      <w:sz w:val="20"/>
      <w:szCs w:val="20"/>
      <w:u w:val="none"/>
    </w:rPr>
  </w:style>
  <w:style w:type="paragraph" w:customStyle="1" w:styleId="35">
    <w:name w:val="Revision"/>
    <w:hidden/>
    <w:unhideWhenUsed/>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1372</Words>
  <Characters>1431</Characters>
  <Lines>84</Lines>
  <Paragraphs>23</Paragraphs>
  <TotalTime>285</TotalTime>
  <ScaleCrop>false</ScaleCrop>
  <LinksUpToDate>false</LinksUpToDate>
  <CharactersWithSpaces>1489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2024-09-23T03:00:00Z</dcterms:created>
  <dc:creator>Lenovo</dc:creator>
  <cp:lastModifiedBy>11</cp:lastModifiedBy>
  <dcterms:modified xsi:type="dcterms:W3CDTF">2025-03-18T02:03:08Z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D45FE2D0EC7A4B8983F7743C8E9F06D8_13</vt:lpwstr>
  </property>
  <property fmtid="{D5CDD505-2E9C-101B-9397-08002B2CF9AE}" pid="4" name="KSOTemplateDocerSaveRecord">
    <vt:lpwstr>eyJoZGlkIjoiYWY3NmVmZGYzM2E3YzJmNDFkZmY3Zjg4NWMwNzU5Y2EiLCJ1c2VySWQiOiI1NTg3MzEwMzgifQ==</vt:lpwstr>
  </property>
</Properties>
</file>